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333-233688</w:t>
      </w:r>
    </w:p>
    <w:p>
      <w:pPr>
        <w:spacing w:after="0" w:line="135"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10,000,000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252095</wp:posOffset>
            </wp:positionV>
            <wp:extent cx="2830195"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Representing 10,000,000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329565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We are offering 10,000,000 American Depositary Shares, or ADSs, with each ADS representing one ordinary share. This is our initial public offering and no public market currently exists for our ordinary shares or the ADSs. The initial public offering price is $15.00 per ADS. Our ADSs are listed on the Nasdaq Global Select Market under the symbol “BNTX.”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287020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20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ADSs involves a high degree of risk. See “</w:t>
      </w:r>
      <w:hyperlink w:anchor="page18">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15 of this prospectus.</w:t>
      </w:r>
    </w:p>
    <w:p>
      <w:pPr>
        <w:spacing w:after="0" w:line="358" w:lineRule="exact"/>
        <w:rPr>
          <w:sz w:val="24"/>
          <w:szCs w:val="24"/>
          <w:color w:val="auto"/>
        </w:rPr>
      </w:pPr>
    </w:p>
    <w:p>
      <w:pPr>
        <w:ind w:left="200" w:right="340"/>
        <w:spacing w:after="0" w:line="266" w:lineRule="auto"/>
        <w:rPr>
          <w:sz w:val="20"/>
          <w:szCs w:val="20"/>
          <w:color w:val="auto"/>
        </w:rPr>
      </w:pPr>
      <w:r>
        <w:rPr>
          <w:rFonts w:ascii="Arial" w:cs="Arial" w:eastAsia="Arial" w:hAnsi="Arial"/>
          <w:sz w:val="18"/>
          <w:szCs w:val="18"/>
          <w:b w:val="1"/>
          <w:bCs w:val="1"/>
          <w:color w:val="auto"/>
        </w:rPr>
        <w:t>We are an “emerging growth company” and a “foreign private issuer” as defined under the U.S. federal securities laws and, as such, will be eligible for reduced public company disclosure requirements. See “Prospectus Summary—Implications of Being an Emerging Growth Company and a Foreign Private Issuer” for additional information.</w:t>
      </w:r>
    </w:p>
    <w:p>
      <w:pPr>
        <w:spacing w:after="0" w:line="284" w:lineRule="exact"/>
        <w:rPr>
          <w:sz w:val="24"/>
          <w:szCs w:val="24"/>
          <w:color w:val="auto"/>
        </w:rPr>
      </w:pPr>
    </w:p>
    <w:p>
      <w:pPr>
        <w:ind w:left="200" w:right="580"/>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83" w:lineRule="exact"/>
        <w:rPr>
          <w:sz w:val="24"/>
          <w:szCs w:val="24"/>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ADS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9,000,000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Proceeds to BioNTech SE before expenses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141,000,000</w:t>
            </w:r>
          </w:p>
        </w:tc>
        <w:tc>
          <w:tcPr>
            <w:tcW w:w="4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1" w:lineRule="exact"/>
        <w:rPr>
          <w:sz w:val="24"/>
          <w:szCs w:val="24"/>
          <w:color w:val="auto"/>
        </w:rPr>
      </w:pPr>
    </w:p>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incurred in this offering. See “Underwriting” for details.</w:t>
      </w:r>
    </w:p>
    <w:p>
      <w:pPr>
        <w:spacing w:after="0" w:line="333" w:lineRule="exact"/>
        <w:rPr>
          <w:sz w:val="24"/>
          <w:szCs w:val="24"/>
          <w:color w:val="auto"/>
        </w:rPr>
      </w:pPr>
    </w:p>
    <w:p>
      <w:pPr>
        <w:ind w:left="200" w:right="180"/>
        <w:spacing w:after="0" w:line="264"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1,500,000 ADSs. If the underwriters exercise the option in full, the total underwriting discounts and commissions payable by us will be $10,350,000, and the total proceeds to us, before expenses, will be $162,150,000.</w:t>
      </w:r>
    </w:p>
    <w:p>
      <w:pPr>
        <w:spacing w:after="0" w:line="289" w:lineRule="exact"/>
        <w:rPr>
          <w:sz w:val="24"/>
          <w:szCs w:val="24"/>
          <w:color w:val="auto"/>
        </w:rPr>
      </w:pPr>
    </w:p>
    <w:p>
      <w:pPr>
        <w:ind w:left="200"/>
        <w:spacing w:after="0"/>
        <w:rPr>
          <w:sz w:val="20"/>
          <w:szCs w:val="20"/>
          <w:color w:val="auto"/>
        </w:rPr>
      </w:pPr>
      <w:r>
        <w:rPr>
          <w:rFonts w:ascii="Arial" w:cs="Arial" w:eastAsia="Arial" w:hAnsi="Arial"/>
          <w:sz w:val="18"/>
          <w:szCs w:val="18"/>
          <w:color w:val="auto"/>
        </w:rPr>
        <w:t>Delivery of the ADSs is expected to be made on or about October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323850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200"/>
        <w:spacing w:after="0"/>
        <w:rPr>
          <w:sz w:val="20"/>
          <w:szCs w:val="20"/>
          <w:color w:val="auto"/>
        </w:rPr>
      </w:pPr>
      <w:r>
        <w:rPr>
          <w:rFonts w:ascii="Arial" w:cs="Arial" w:eastAsia="Arial" w:hAnsi="Arial"/>
          <w:sz w:val="23"/>
          <w:szCs w:val="23"/>
          <w:b w:val="1"/>
          <w:bCs w:val="1"/>
          <w:color w:val="auto"/>
        </w:rPr>
        <w:t>J.P. Morgan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BofA Merrill Lynch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UBS Investment Bank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SVB Leerink</w:t>
      </w:r>
    </w:p>
    <w:p>
      <w:pPr>
        <w:spacing w:after="0" w:line="145" w:lineRule="exact"/>
        <w:rPr>
          <w:sz w:val="24"/>
          <w:szCs w:val="24"/>
          <w:color w:val="auto"/>
        </w:rPr>
      </w:pPr>
    </w:p>
    <w:p>
      <w:pPr>
        <w:sectPr>
          <w:pgSz w:w="11900" w:h="16838" w:orient="portrait"/>
          <w:cols w:equalWidth="0" w:num="4">
            <w:col w:w="2660" w:space="720"/>
            <w:col w:w="2660" w:space="720"/>
            <w:col w:w="2380" w:space="680"/>
            <w:col w:w="1400"/>
          </w:cols>
          <w:pgMar w:left="240" w:top="230" w:right="439" w:bottom="1440" w:gutter="0" w:footer="0" w:header="0"/>
          <w:type w:val="continuous"/>
        </w:sectPr>
      </w:pPr>
    </w:p>
    <w:p>
      <w:pPr>
        <w:ind w:left="1040"/>
        <w:spacing w:after="0"/>
        <w:rPr>
          <w:sz w:val="20"/>
          <w:szCs w:val="20"/>
          <w:color w:val="auto"/>
        </w:rPr>
      </w:pPr>
      <w:r>
        <w:rPr>
          <w:rFonts w:ascii="Arial" w:cs="Arial" w:eastAsia="Arial" w:hAnsi="Arial"/>
          <w:sz w:val="21"/>
          <w:szCs w:val="21"/>
          <w:b w:val="1"/>
          <w:bCs w:val="1"/>
          <w:color w:val="auto"/>
        </w:rPr>
        <w:t>Canaccord Genuity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Bryan, Garnier &amp; 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0"/>
          <w:szCs w:val="20"/>
          <w:b w:val="1"/>
          <w:bCs w:val="1"/>
          <w:color w:val="auto"/>
        </w:rPr>
        <w:t>Berenberg</w:t>
      </w:r>
    </w:p>
    <w:p>
      <w:pPr>
        <w:spacing w:after="0" w:line="152" w:lineRule="exact"/>
        <w:rPr>
          <w:sz w:val="24"/>
          <w:szCs w:val="24"/>
          <w:color w:val="auto"/>
        </w:rPr>
      </w:pPr>
    </w:p>
    <w:p>
      <w:pPr>
        <w:sectPr>
          <w:pgSz w:w="11900" w:h="16838" w:orient="portrait"/>
          <w:cols w:equalWidth="0" w:num="3">
            <w:col w:w="3960" w:space="720"/>
            <w:col w:w="3540" w:space="720"/>
            <w:col w:w="2280"/>
          </w:cols>
          <w:pgMar w:left="240" w:top="230" w:right="439" w:bottom="1440" w:gutter="0" w:footer="0" w:header="0"/>
          <w:type w:val="continuous"/>
        </w:sectPr>
      </w:pPr>
    </w:p>
    <w:p>
      <w:pPr>
        <w:ind w:left="320"/>
        <w:spacing w:after="0"/>
        <w:rPr>
          <w:sz w:val="20"/>
          <w:szCs w:val="20"/>
          <w:color w:val="auto"/>
        </w:rPr>
      </w:pPr>
      <w:r>
        <w:rPr>
          <w:rFonts w:ascii="Arial" w:cs="Arial" w:eastAsia="Arial" w:hAnsi="Arial"/>
          <w:sz w:val="19"/>
          <w:szCs w:val="19"/>
          <w:b w:val="1"/>
          <w:bCs w:val="1"/>
          <w:color w:val="auto"/>
        </w:rPr>
        <w:t>Wolfe Capital Markets and Advisory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Kempen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Mirae Asset Securities</w:t>
      </w:r>
    </w:p>
    <w:p>
      <w:pPr>
        <w:spacing w:after="0" w:line="200" w:lineRule="exact"/>
        <w:rPr>
          <w:sz w:val="24"/>
          <w:szCs w:val="24"/>
          <w:color w:val="auto"/>
        </w:rPr>
      </w:pPr>
    </w:p>
    <w:p>
      <w:pPr>
        <w:sectPr>
          <w:pgSz w:w="11900" w:h="16838" w:orient="portrait"/>
          <w:cols w:equalWidth="0" w:num="3">
            <w:col w:w="4660" w:space="720"/>
            <w:col w:w="2340" w:space="720"/>
            <w:col w:w="2780"/>
          </w:cols>
          <w:pgMar w:left="240" w:top="230" w:right="439" w:bottom="1440" w:gutter="0" w:footer="0" w:header="0"/>
          <w:type w:val="continuous"/>
        </w:sectPr>
      </w:pP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5"/>
          <w:szCs w:val="15"/>
          <w:b w:val="1"/>
          <w:bCs w:val="1"/>
          <w:color w:val="auto"/>
        </w:rPr>
        <w:t>Prospectus dated October 9, 2019</w:t>
      </w:r>
    </w:p>
    <w:p>
      <w:pPr>
        <w:sectPr>
          <w:pgSz w:w="11900" w:h="16838" w:orient="portrait"/>
          <w:cols w:equalWidth="0" w:num="1">
            <w:col w:w="11220"/>
          </w:cols>
          <w:pgMar w:left="24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20" w:type="dxa"/>
            <w:vAlign w:val="bottom"/>
            <w:gridSpan w:val="2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89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820" w:type="dxa"/>
            <w:vAlign w:val="bottom"/>
            <w:tcBorders>
              <w:top w:val="single" w:sz="8" w:color="0000EE"/>
            </w:tcBorders>
            <w:gridSpan w:val="7"/>
          </w:tcPr>
          <w:p>
            <w:pPr>
              <w:spacing w:after="0"/>
              <w:rPr>
                <w:sz w:val="17"/>
                <w:szCs w:val="17"/>
                <w:color w:val="auto"/>
              </w:rPr>
            </w:pPr>
          </w:p>
        </w:tc>
        <w:tc>
          <w:tcPr>
            <w:tcW w:w="6840" w:type="dxa"/>
            <w:vAlign w:val="bottom"/>
            <w:gridSpan w:val="1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CAUTIONARY NOTE REGARDING FORWARD-LOOKING STATEMENTS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2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USE OF PROCEEDS</w:t>
              </w:r>
            </w:hyperlink>
          </w:p>
        </w:tc>
        <w:tc>
          <w:tcPr>
            <w:tcW w:w="4180" w:type="dxa"/>
            <w:vAlign w:val="bottom"/>
            <w:tcBorders>
              <w:top w:val="single" w:sz="8" w:color="0000EE"/>
            </w:tcBorders>
            <w:gridSpan w:val="10"/>
          </w:tcPr>
          <w:p>
            <w:pPr>
              <w:spacing w:after="0"/>
              <w:rPr>
                <w:sz w:val="17"/>
                <w:szCs w:val="17"/>
                <w:color w:val="auto"/>
              </w:rPr>
            </w:pPr>
          </w:p>
        </w:tc>
        <w:tc>
          <w:tcPr>
            <w:tcW w:w="314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200" w:type="dxa"/>
            <w:vAlign w:val="bottom"/>
          </w:tcPr>
          <w:p>
            <w:pPr>
              <w:spacing w:after="0"/>
              <w:rPr>
                <w:sz w:val="17"/>
                <w:szCs w:val="17"/>
                <w:color w:val="auto"/>
              </w:rPr>
            </w:pPr>
          </w:p>
        </w:tc>
        <w:tc>
          <w:tcPr>
            <w:tcW w:w="158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DIVIDEND POLICY</w:t>
              </w:r>
            </w:hyperlink>
          </w:p>
        </w:tc>
        <w:tc>
          <w:tcPr>
            <w:tcW w:w="734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200" w:type="dxa"/>
            <w:vAlign w:val="bottom"/>
          </w:tcPr>
          <w:p>
            <w:pPr>
              <w:spacing w:after="0"/>
              <w:rPr>
                <w:sz w:val="17"/>
                <w:szCs w:val="17"/>
                <w:color w:val="auto"/>
              </w:rPr>
            </w:pPr>
          </w:p>
        </w:tc>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104">
              <w:r>
                <w:rPr>
                  <w:rFonts w:ascii="Arial" w:cs="Arial" w:eastAsia="Arial" w:hAnsi="Arial"/>
                  <w:sz w:val="18"/>
                  <w:szCs w:val="18"/>
                  <w:color w:val="0000EE"/>
                  <w:w w:val="99"/>
                </w:rPr>
                <w:t>CAPITALIZATION</w:t>
              </w:r>
            </w:hyperlink>
          </w:p>
        </w:tc>
        <w:tc>
          <w:tcPr>
            <w:tcW w:w="7440" w:type="dxa"/>
            <w:vAlign w:val="bottom"/>
            <w:gridSpan w:val="1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20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DILUTION</w:t>
              </w:r>
            </w:hyperlink>
          </w:p>
        </w:tc>
        <w:tc>
          <w:tcPr>
            <w:tcW w:w="8040" w:type="dxa"/>
            <w:vAlign w:val="bottom"/>
            <w:gridSpan w:val="2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SELECTED CONSOLIDATED FINANCIAL DATA</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92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110">
              <w:r>
                <w:rPr>
                  <w:rFonts w:ascii="Arial" w:cs="Arial" w:eastAsia="Arial" w:hAnsi="Arial"/>
                  <w:sz w:val="18"/>
                  <w:szCs w:val="18"/>
                  <w:color w:val="0000EE"/>
                  <w:w w:val="97"/>
                </w:rPr>
                <w:t>MANAGEMENT’S DISCUSSION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20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BUSINESS</w:t>
              </w:r>
            </w:hyperlink>
          </w:p>
        </w:tc>
        <w:tc>
          <w:tcPr>
            <w:tcW w:w="8060" w:type="dxa"/>
            <w:vAlign w:val="bottom"/>
            <w:gridSpan w:val="2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MANAGEMENT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249</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264">
              <w:r>
                <w:rPr>
                  <w:rFonts w:ascii="Arial" w:cs="Arial" w:eastAsia="Arial" w:hAnsi="Arial"/>
                  <w:sz w:val="18"/>
                  <w:szCs w:val="18"/>
                  <w:color w:val="0000EE"/>
                </w:rPr>
                <w:t>RELATED PARTY TRANSACTIONS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261</w:t>
            </w:r>
          </w:p>
        </w:tc>
      </w:tr>
      <w:tr>
        <w:trPr>
          <w:trHeight w:val="196"/>
        </w:trPr>
        <w:tc>
          <w:tcPr>
            <w:tcW w:w="200" w:type="dxa"/>
            <w:vAlign w:val="bottom"/>
          </w:tcPr>
          <w:p>
            <w:pPr>
              <w:spacing w:after="0"/>
              <w:rPr>
                <w:sz w:val="17"/>
                <w:szCs w:val="17"/>
                <w:color w:val="auto"/>
              </w:rPr>
            </w:pPr>
          </w:p>
        </w:tc>
        <w:tc>
          <w:tcPr>
            <w:tcW w:w="28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PRINCIPAL SHAREHOLDERS</w:t>
              </w:r>
            </w:hyperlink>
          </w:p>
        </w:tc>
        <w:tc>
          <w:tcPr>
            <w:tcW w:w="6100" w:type="dxa"/>
            <w:vAlign w:val="bottom"/>
            <w:gridSpan w:val="9"/>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263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269">
              <w:r>
                <w:rPr>
                  <w:rFonts w:ascii="Arial" w:cs="Arial" w:eastAsia="Arial" w:hAnsi="Arial"/>
                  <w:sz w:val="18"/>
                  <w:szCs w:val="18"/>
                  <w:color w:val="0000EE"/>
                </w:rPr>
                <w:t>DESCRIPTION OF SHARE CAPITAL AND ARTICLES OF ASSOCIATION (</w:t>
              </w:r>
              <w:r>
                <w:rPr>
                  <w:rFonts w:ascii="Arial" w:cs="Arial" w:eastAsia="Arial" w:hAnsi="Arial"/>
                  <w:sz w:val="18"/>
                  <w:szCs w:val="18"/>
                  <w:i w:val="1"/>
                  <w:iCs w:val="1"/>
                  <w:color w:val="0000EE"/>
                </w:rPr>
                <w:t>SATZUNG</w:t>
              </w:r>
              <w:r>
                <w:rPr>
                  <w:rFonts w:ascii="Arial" w:cs="Arial" w:eastAsia="Arial" w:hAnsi="Arial"/>
                  <w:sz w:val="18"/>
                  <w:szCs w:val="18"/>
                  <w:color w:val="0000EE"/>
                </w:rPr>
                <w: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266</w:t>
            </w:r>
          </w:p>
        </w:tc>
      </w:tr>
      <w:tr>
        <w:trPr>
          <w:trHeight w:val="196"/>
        </w:trPr>
        <w:tc>
          <w:tcPr>
            <w:tcW w:w="200" w:type="dxa"/>
            <w:vAlign w:val="bottom"/>
          </w:tcPr>
          <w:p>
            <w:pPr>
              <w:spacing w:after="0"/>
              <w:rPr>
                <w:sz w:val="17"/>
                <w:szCs w:val="17"/>
                <w:color w:val="auto"/>
              </w:rPr>
            </w:pPr>
          </w:p>
        </w:tc>
        <w:tc>
          <w:tcPr>
            <w:tcW w:w="66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83">
              <w:r>
                <w:rPr>
                  <w:rFonts w:ascii="Arial" w:cs="Arial" w:eastAsia="Arial" w:hAnsi="Arial"/>
                  <w:sz w:val="18"/>
                  <w:szCs w:val="18"/>
                  <w:color w:val="0000EE"/>
                </w:rPr>
                <w:t>DESCRIPTION OF AMERICAN DEPOSITARY SHARES</w:t>
              </w:r>
            </w:hyperlink>
          </w:p>
        </w:tc>
        <w:tc>
          <w:tcPr>
            <w:tcW w:w="228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280</w:t>
            </w:r>
          </w:p>
        </w:tc>
      </w:tr>
      <w:tr>
        <w:trPr>
          <w:trHeight w:val="196"/>
        </w:trPr>
        <w:tc>
          <w:tcPr>
            <w:tcW w:w="20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5"/>
              </w:rPr>
            </w:pPr>
            <w:hyperlink w:anchor="page291">
              <w:r>
                <w:rPr>
                  <w:rFonts w:ascii="Arial" w:cs="Arial" w:eastAsia="Arial" w:hAnsi="Arial"/>
                  <w:sz w:val="18"/>
                  <w:szCs w:val="18"/>
                  <w:color w:val="0000EE"/>
                  <w:w w:val="95"/>
                </w:rPr>
                <w:t>SHARES AND ADSs ELIGIBLE FOR FUTURE SALE</w:t>
              </w:r>
            </w:hyperlink>
          </w:p>
        </w:tc>
        <w:tc>
          <w:tcPr>
            <w:tcW w:w="220" w:type="dxa"/>
            <w:vAlign w:val="bottom"/>
            <w:tcBorders>
              <w:top w:val="single" w:sz="8" w:color="0000EE"/>
            </w:tcBorders>
          </w:tcPr>
          <w:p>
            <w:pPr>
              <w:spacing w:after="0"/>
              <w:rPr>
                <w:sz w:val="17"/>
                <w:szCs w:val="17"/>
                <w:color w:val="auto"/>
              </w:rPr>
            </w:pPr>
          </w:p>
        </w:tc>
        <w:tc>
          <w:tcPr>
            <w:tcW w:w="460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288</w:t>
            </w:r>
          </w:p>
        </w:tc>
      </w:tr>
      <w:tr>
        <w:trPr>
          <w:trHeight w:val="196"/>
        </w:trPr>
        <w:tc>
          <w:tcPr>
            <w:tcW w:w="200" w:type="dxa"/>
            <w:vAlign w:val="bottom"/>
          </w:tcPr>
          <w:p>
            <w:pPr>
              <w:spacing w:after="0"/>
              <w:rPr>
                <w:sz w:val="17"/>
                <w:szCs w:val="17"/>
                <w:color w:val="auto"/>
              </w:rPr>
            </w:pPr>
          </w:p>
        </w:tc>
        <w:tc>
          <w:tcPr>
            <w:tcW w:w="610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293">
              <w:r>
                <w:rPr>
                  <w:rFonts w:ascii="Arial" w:cs="Arial" w:eastAsia="Arial" w:hAnsi="Arial"/>
                  <w:sz w:val="18"/>
                  <w:szCs w:val="18"/>
                  <w:color w:val="0000EE"/>
                  <w:w w:val="96"/>
                </w:rPr>
                <w:t>EXCHANGE CONTROLS AND LIMITATIONS AFFECTING SHAREHOLDERS</w:t>
              </w:r>
            </w:hyperlink>
          </w:p>
        </w:tc>
        <w:tc>
          <w:tcPr>
            <w:tcW w:w="282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290</w:t>
            </w:r>
          </w:p>
        </w:tc>
      </w:tr>
      <w:tr>
        <w:trPr>
          <w:trHeight w:val="196"/>
        </w:trPr>
        <w:tc>
          <w:tcPr>
            <w:tcW w:w="20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294">
              <w:r>
                <w:rPr>
                  <w:rFonts w:ascii="Arial" w:cs="Arial" w:eastAsia="Arial" w:hAnsi="Arial"/>
                  <w:sz w:val="18"/>
                  <w:szCs w:val="18"/>
                  <w:color w:val="0000EE"/>
                  <w:w w:val="97"/>
                </w:rPr>
                <w:t>TAXATION</w:t>
              </w:r>
            </w:hyperlink>
          </w:p>
        </w:tc>
        <w:tc>
          <w:tcPr>
            <w:tcW w:w="8020" w:type="dxa"/>
            <w:vAlign w:val="bottom"/>
            <w:gridSpan w:val="2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291</w:t>
            </w:r>
          </w:p>
        </w:tc>
      </w:tr>
      <w:tr>
        <w:trPr>
          <w:trHeight w:val="196"/>
        </w:trPr>
        <w:tc>
          <w:tcPr>
            <w:tcW w:w="200" w:type="dxa"/>
            <w:vAlign w:val="bottom"/>
          </w:tcPr>
          <w:p>
            <w:pPr>
              <w:spacing w:after="0"/>
              <w:rPr>
                <w:sz w:val="17"/>
                <w:szCs w:val="17"/>
                <w:color w:val="auto"/>
              </w:rPr>
            </w:pPr>
          </w:p>
        </w:tc>
        <w:tc>
          <w:tcPr>
            <w:tcW w:w="140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305">
              <w:r>
                <w:rPr>
                  <w:rFonts w:ascii="Arial" w:cs="Arial" w:eastAsia="Arial" w:hAnsi="Arial"/>
                  <w:sz w:val="18"/>
                  <w:szCs w:val="18"/>
                  <w:color w:val="0000EE"/>
                  <w:w w:val="97"/>
                </w:rPr>
                <w:t>UNDERWRITING</w:t>
              </w:r>
            </w:hyperlink>
          </w:p>
        </w:tc>
        <w:tc>
          <w:tcPr>
            <w:tcW w:w="7520" w:type="dxa"/>
            <w:vAlign w:val="bottom"/>
            <w:gridSpan w:val="1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302</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313">
              <w:r>
                <w:rPr>
                  <w:rFonts w:ascii="Arial" w:cs="Arial" w:eastAsia="Arial" w:hAnsi="Arial"/>
                  <w:sz w:val="18"/>
                  <w:szCs w:val="18"/>
                  <w:color w:val="0000EE"/>
                </w:rPr>
                <w:t>EXPENSES OF THE OFFERING</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310</w:t>
            </w:r>
          </w:p>
        </w:tc>
      </w:tr>
      <w:tr>
        <w:trPr>
          <w:trHeight w:val="196"/>
        </w:trPr>
        <w:tc>
          <w:tcPr>
            <w:tcW w:w="20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6"/>
              </w:rPr>
            </w:pPr>
            <w:hyperlink w:anchor="page314">
              <w:r>
                <w:rPr>
                  <w:rFonts w:ascii="Arial" w:cs="Arial" w:eastAsia="Arial" w:hAnsi="Arial"/>
                  <w:sz w:val="18"/>
                  <w:szCs w:val="18"/>
                  <w:color w:val="0000EE"/>
                  <w:w w:val="96"/>
                </w:rPr>
                <w:t>LEGAL MATTERS</w:t>
              </w:r>
            </w:hyperlink>
          </w:p>
        </w:tc>
        <w:tc>
          <w:tcPr>
            <w:tcW w:w="1020" w:type="dxa"/>
            <w:vAlign w:val="bottom"/>
            <w:tcBorders>
              <w:top w:val="single" w:sz="8" w:color="0000EE"/>
            </w:tcBorders>
            <w:gridSpan w:val="6"/>
          </w:tcPr>
          <w:p>
            <w:pPr>
              <w:spacing w:after="0"/>
              <w:rPr>
                <w:sz w:val="17"/>
                <w:szCs w:val="17"/>
                <w:color w:val="auto"/>
              </w:rPr>
            </w:pPr>
          </w:p>
        </w:tc>
        <w:tc>
          <w:tcPr>
            <w:tcW w:w="644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200" w:type="dxa"/>
            <w:vAlign w:val="bottom"/>
          </w:tcPr>
          <w:p>
            <w:pPr>
              <w:spacing w:after="0"/>
              <w:rPr>
                <w:sz w:val="17"/>
                <w:szCs w:val="17"/>
                <w:color w:val="auto"/>
              </w:rPr>
            </w:pPr>
          </w:p>
        </w:tc>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314">
              <w:r>
                <w:rPr>
                  <w:rFonts w:ascii="Arial" w:cs="Arial" w:eastAsia="Arial" w:hAnsi="Arial"/>
                  <w:sz w:val="18"/>
                  <w:szCs w:val="18"/>
                  <w:color w:val="0000EE"/>
                  <w:w w:val="96"/>
                </w:rPr>
                <w:t>CHANGE IN ACCOUNTANTS</w:t>
              </w:r>
            </w:hyperlink>
          </w:p>
        </w:tc>
        <w:tc>
          <w:tcPr>
            <w:tcW w:w="654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14">
              <w:r>
                <w:rPr>
                  <w:rFonts w:ascii="Arial" w:cs="Arial" w:eastAsia="Arial" w:hAnsi="Arial"/>
                  <w:sz w:val="18"/>
                  <w:szCs w:val="18"/>
                  <w:color w:val="0000EE"/>
                  <w:w w:val="90"/>
                </w:rPr>
                <w:t>EXPERTS</w:t>
              </w:r>
            </w:hyperlink>
          </w:p>
        </w:tc>
        <w:tc>
          <w:tcPr>
            <w:tcW w:w="8140" w:type="dxa"/>
            <w:vAlign w:val="bottom"/>
            <w:gridSpan w:val="2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200" w:type="dxa"/>
            <w:vAlign w:val="bottom"/>
          </w:tcPr>
          <w:p>
            <w:pPr>
              <w:spacing w:after="0"/>
              <w:rPr>
                <w:sz w:val="17"/>
                <w:szCs w:val="17"/>
                <w:color w:val="auto"/>
              </w:rPr>
            </w:pPr>
          </w:p>
        </w:tc>
        <w:tc>
          <w:tcPr>
            <w:tcW w:w="500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314">
              <w:r>
                <w:rPr>
                  <w:rFonts w:ascii="Arial" w:cs="Arial" w:eastAsia="Arial" w:hAnsi="Arial"/>
                  <w:sz w:val="18"/>
                  <w:szCs w:val="18"/>
                  <w:color w:val="0000EE"/>
                  <w:w w:val="95"/>
                </w:rPr>
                <w:t>SERVICE OF PROCESS AND ENFORCEMENT OF LIABILITIES</w:t>
              </w:r>
            </w:hyperlink>
          </w:p>
        </w:tc>
        <w:tc>
          <w:tcPr>
            <w:tcW w:w="392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196"/>
        </w:trPr>
        <w:tc>
          <w:tcPr>
            <w:tcW w:w="200" w:type="dxa"/>
            <w:vAlign w:val="bottom"/>
          </w:tcPr>
          <w:p>
            <w:pPr>
              <w:spacing w:after="0"/>
              <w:rPr>
                <w:sz w:val="17"/>
                <w:szCs w:val="17"/>
                <w:color w:val="auto"/>
              </w:rPr>
            </w:pPr>
          </w:p>
        </w:tc>
        <w:tc>
          <w:tcPr>
            <w:tcW w:w="38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315">
              <w:r>
                <w:rPr>
                  <w:rFonts w:ascii="Arial" w:cs="Arial" w:eastAsia="Arial" w:hAnsi="Arial"/>
                  <w:sz w:val="18"/>
                  <w:szCs w:val="18"/>
                  <w:color w:val="0000EE"/>
                  <w:w w:val="97"/>
                </w:rPr>
                <w:t>WHERE YOU CAN FIND MORE INFORMATION</w:t>
              </w:r>
            </w:hyperlink>
          </w:p>
        </w:tc>
        <w:tc>
          <w:tcPr>
            <w:tcW w:w="50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312</w:t>
            </w:r>
          </w:p>
        </w:tc>
      </w:tr>
      <w:tr>
        <w:trPr>
          <w:trHeight w:val="196"/>
        </w:trPr>
        <w:tc>
          <w:tcPr>
            <w:tcW w:w="200" w:type="dxa"/>
            <w:vAlign w:val="bottom"/>
          </w:tcPr>
          <w:p>
            <w:pPr>
              <w:spacing w:after="0"/>
              <w:rPr>
                <w:sz w:val="17"/>
                <w:szCs w:val="17"/>
                <w:color w:val="auto"/>
              </w:rPr>
            </w:pPr>
          </w:p>
        </w:tc>
        <w:tc>
          <w:tcPr>
            <w:tcW w:w="8920" w:type="dxa"/>
            <w:vAlign w:val="bottom"/>
            <w:gridSpan w:val="25"/>
          </w:tcPr>
          <w:p>
            <w:pPr>
              <w:spacing w:after="0" w:line="196" w:lineRule="exact"/>
              <w:rPr>
                <w:rFonts w:ascii="Arial" w:cs="Arial" w:eastAsia="Arial" w:hAnsi="Arial"/>
                <w:sz w:val="18"/>
                <w:szCs w:val="18"/>
                <w:color w:val="0000EE"/>
              </w:rPr>
            </w:pPr>
            <w:hyperlink w:anchor="page316">
              <w:r>
                <w:rPr>
                  <w:rFonts w:ascii="Arial" w:cs="Arial" w:eastAsia="Arial" w:hAnsi="Arial"/>
                  <w:sz w:val="18"/>
                  <w:szCs w:val="18"/>
                  <w:color w:val="0000EE"/>
                </w:rPr>
                <w:t>INDEX TO FINANCIAL STATEMENTS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b w:val="1"/>
          <w:bCs w:val="1"/>
          <w:color w:val="auto"/>
        </w:rPr>
        <w:t>We have not, and the underwriters have not, authorized anyone to provide you with information that is different from that contained in this prospectus, any amendment or supplement to this prospectus, or any free writing prospectus we may authorize to be delivered or made available to you. We take no responsibility for, and can provide no assurance as to the reliability of, any other information that others may give you. We and the underwriters are offering to sell ADSs and seeking offers to purchase ADSs only in jurisdictions where offers and sales are permitted. The information contained in this prospectus is accurate only as of the date on the cover page of this prospectus, regardless of the time of delivery of this prospectus or the sale of any ADSs. Our business, financial condition, results of operations and prospects may have changed since the date on the cover page of this prospectus.</w:t>
      </w:r>
    </w:p>
    <w:p>
      <w:pPr>
        <w:spacing w:after="0" w:line="17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ADSs and the distribution of this prospectus outside of the United States.</w:t>
      </w:r>
    </w:p>
    <w:p>
      <w:pPr>
        <w:spacing w:after="0" w:line="18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i w:val="1"/>
          <w:iCs w:val="1"/>
          <w:color w:val="auto"/>
        </w:rPr>
        <w:t>The prospectus summary beginning on page 1 below highlights information contained elsewhere in this prospectus and does not contain all of the information that you should consider in making your investment decision. Before deciding to invest in our ADSs, you should read this entire prospectus carefully, including the sections titled “Risk Factors,” “Business” and “Management’s Discussion and Analysis of Financial Condition and Results of Operations” and our consolidated financial statements and related notes included elsewhere in this prospectus.</w:t>
      </w:r>
    </w:p>
    <w:p>
      <w:pPr>
        <w:sectPr>
          <w:pgSz w:w="11900" w:h="16838" w:orient="portrait"/>
          <w:cols w:equalWidth="0" w:num="1">
            <w:col w:w="11180"/>
          </w:cols>
          <w:pgMar w:left="240" w:top="446"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“BioNTech,” the “Company,” “we,” “us” and ”our” refer to BioNTech SE and our wholly owned subsidiaries.</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This prospectus includes our audited consolidated financial statements as of and for the years ended December 31, 2018 and 2017, which have been prepared in accordance with International Financial Reporting Standards, or IFRS, as issued by the International Accounting Standards Board, or IASB, which differ in certain significant respects from U.S. generally accepted accounting principles, or U.S. GAAP.</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financial information is presented in Euros. For the convenience of the reader, we have translated some of our financial information into U.S. dollars. Unless otherwise indicated, these translations were made at the rate of €1.00 to $1.1074, the noon buying rate of the Federal Reserve Bank of New York on September 13, 2019. Such U.S. dollar amounts are not necessarily indicative of the amounts of U.S. dollars that could actually have been purchased upon exchange of Euros at the dates indicated. All references in this prospectus to “$” mean U.S. dollars and all references to “€” mean Euros.</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have made rounding adjustments to some of the figures contained in this prospectus. Accordingly, numerical figures shown as totals in some tables may not be exact arithmetic aggregations of the figures that preceded them.</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The BioNTech SE logo, FixVac</w:t>
      </w:r>
      <w:r>
        <w:rPr>
          <w:rFonts w:ascii="Arial" w:cs="Arial" w:eastAsia="Arial" w:hAnsi="Arial"/>
          <w:sz w:val="13"/>
          <w:szCs w:val="13"/>
          <w:color w:val="auto"/>
        </w:rPr>
        <w:t>®</w:t>
      </w:r>
      <w:r>
        <w:rPr>
          <w:rFonts w:ascii="Arial" w:cs="Arial" w:eastAsia="Arial" w:hAnsi="Arial"/>
          <w:sz w:val="16"/>
          <w:szCs w:val="16"/>
          <w:color w:val="auto"/>
        </w:rPr>
        <w:t>, RiboMab</w:t>
      </w:r>
      <w:r>
        <w:rPr>
          <w:rFonts w:ascii="Arial" w:cs="Arial" w:eastAsia="Arial" w:hAnsi="Arial"/>
          <w:sz w:val="13"/>
          <w:szCs w:val="13"/>
          <w:color w:val="auto"/>
        </w:rPr>
        <w:t>®</w:t>
      </w:r>
      <w:r>
        <w:rPr>
          <w:rFonts w:ascii="Arial" w:cs="Arial" w:eastAsia="Arial" w:hAnsi="Arial"/>
          <w:sz w:val="16"/>
          <w:szCs w:val="16"/>
          <w:color w:val="auto"/>
        </w:rPr>
        <w:t>, RiboCytokine</w:t>
      </w:r>
      <w:r>
        <w:rPr>
          <w:rFonts w:ascii="Arial" w:cs="Arial" w:eastAsia="Arial" w:hAnsi="Arial"/>
          <w:sz w:val="13"/>
          <w:szCs w:val="13"/>
          <w:color w:val="auto"/>
        </w:rPr>
        <w:t>®</w:t>
      </w:r>
      <w:r>
        <w:rPr>
          <w:rFonts w:ascii="Arial" w:cs="Arial" w:eastAsia="Arial" w:hAnsi="Arial"/>
          <w:sz w:val="16"/>
          <w:szCs w:val="16"/>
          <w:color w:val="auto"/>
        </w:rPr>
        <w:t>, MammaTyper</w:t>
      </w:r>
      <w:r>
        <w:rPr>
          <w:rFonts w:ascii="Arial" w:cs="Arial" w:eastAsia="Arial" w:hAnsi="Arial"/>
          <w:sz w:val="13"/>
          <w:szCs w:val="13"/>
          <w:color w:val="auto"/>
        </w:rPr>
        <w:t>®</w:t>
      </w:r>
      <w:r>
        <w:rPr>
          <w:rFonts w:ascii="Arial" w:cs="Arial" w:eastAsia="Arial" w:hAnsi="Arial"/>
          <w:sz w:val="16"/>
          <w:szCs w:val="16"/>
          <w:color w:val="auto"/>
        </w:rPr>
        <w:t xml:space="preserve"> and other trademarks or service marks of BioNTech appearing in this prospectus are the property of the Company. Solely for convenience, some of the trademarks, service marks, logos and trade names referred to in this prospectus are presented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3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they contain has been obtained from sources believed to be reliable, although they do not guarantee the accuracy or completeness of such information. While we believe that each of these publications and third-party studies is reliable, we have not independently verified the market and industry data obtained from these third-party sources. Forecasts and other forward-looking information obtained from these sources are subject to the same qualifications and uncertainties as the other forward-looking statements contained in this prospectus. These forecasts and forward-looking information are subject to uncertainty and risk due to a variety of factors, including those described in “Risk Factors.” These and other factors could cause results to differ materially from those expressed in our forecasts or estimates or those of independent third parties. While we believe our internal research is reliable and the definitions of our market and industry are appropriate, neither such research nor these definitions have been verified by any independent source.</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99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899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PROSPECTUS SUMMARY</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78"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The interconnected dimensions of cancer heterogeneity on which we focus are illustrated below. The interaction between cancer and the immune system is shaped by various host, tumor and environmental factors. The complex interplay of these sources of interpatient heterogeneity both affects the course of disease and determines the most appropriate choice of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240" w:top="459" w:right="6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20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5020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90" w:lineRule="auto"/>
        <w:rPr>
          <w:sz w:val="20"/>
          <w:szCs w:val="20"/>
          <w:color w:val="auto"/>
        </w:rPr>
      </w:pPr>
      <w:r>
        <w:rPr>
          <w:rFonts w:ascii="Arial" w:cs="Arial" w:eastAsia="Arial" w:hAnsi="Arial"/>
          <w:sz w:val="16"/>
          <w:szCs w:val="16"/>
          <w:color w:val="auto"/>
        </w:rPr>
        <w:t>Leveraging our expertise in these factors, we and our collaborators have advanced a development pipeline of over 20 product candidates, of which eight have entered into nine ongoing clinical trials. While we believe our approach is broadly applicable across a number of therapeutic areas, our most advanced programs are focused on oncology, where we have treated over 250 patients across 17 tumor types to date. In our Phase 1 trials, we have observed single-agent antigen-specific immune responses in over 90% of advanced melanoma patients treated with BNT111, our wholly owned lead off-the-shelf immunotherapy product candidate from our FixVac platform. In addition, we have observed single-agent antigen-specific immune responses in patients treated with BNT121, the precursor to RO7198457 (BNT122), our lead individualized neoantigen specific immunotherapy product candidate from our iNeST platform, which we are co-developing with Genentech, Inc., or Genentech. For both product candidates, we have also observed durable reduction in tumor volume in both the monotherapy and checkpoint-combination settings.</w:t>
      </w:r>
    </w:p>
    <w:p>
      <w:pPr>
        <w:spacing w:after="0" w:line="166" w:lineRule="exact"/>
        <w:rPr>
          <w:sz w:val="20"/>
          <w:szCs w:val="20"/>
          <w:color w:val="auto"/>
        </w:rPr>
      </w:pPr>
    </w:p>
    <w:p>
      <w:pPr>
        <w:ind w:left="380" w:right="400" w:firstLine="426"/>
        <w:spacing w:after="0" w:line="277" w:lineRule="auto"/>
        <w:rPr>
          <w:sz w:val="20"/>
          <w:szCs w:val="20"/>
          <w:color w:val="auto"/>
        </w:rPr>
      </w:pPr>
      <w:r>
        <w:rPr>
          <w:rFonts w:ascii="Arial" w:cs="Arial" w:eastAsia="Arial" w:hAnsi="Arial"/>
          <w:sz w:val="18"/>
          <w:szCs w:val="18"/>
          <w:color w:val="auto"/>
        </w:rPr>
        <w:t>Our potentially first-in-class product candidates are the result of our pioneering development of numerous immunotherapeutic platforms across four drug classes:</w:t>
      </w:r>
    </w:p>
    <w:p>
      <w:pPr>
        <w:spacing w:after="0" w:line="72" w:lineRule="exact"/>
        <w:rPr>
          <w:sz w:val="20"/>
          <w:szCs w:val="20"/>
          <w:color w:val="auto"/>
        </w:rPr>
      </w:pPr>
    </w:p>
    <w:p>
      <w:pPr>
        <w:ind w:left="1320" w:right="20" w:hanging="407"/>
        <w:spacing w:after="0" w:line="282"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mRNA Therapeutics. </w:t>
      </w:r>
      <w:r>
        <w:rPr>
          <w:rFonts w:ascii="Arial" w:cs="Arial" w:eastAsia="Arial" w:hAnsi="Arial"/>
          <w:sz w:val="18"/>
          <w:szCs w:val="18"/>
          <w:color w:val="auto"/>
        </w:rPr>
        <w:t>We have developed multiple proprietary formats and formulations of messenger ribonucleic acid, or mRNA, to</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genetic information to cells, where it is used to express proteins for therapeutic effect.</w:t>
      </w:r>
    </w:p>
    <w:p>
      <w:pPr>
        <w:spacing w:after="0" w:line="67" w:lineRule="exact"/>
        <w:rPr>
          <w:rFonts w:ascii="Arial" w:cs="Arial" w:eastAsia="Arial" w:hAnsi="Arial"/>
          <w:sz w:val="18"/>
          <w:szCs w:val="18"/>
          <w:color w:val="auto"/>
        </w:rPr>
      </w:pPr>
    </w:p>
    <w:p>
      <w:pPr>
        <w:ind w:left="1320" w:right="300" w:hanging="407"/>
        <w:spacing w:after="0" w:line="282"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Engineered Cell Therapies. </w:t>
      </w:r>
      <w:r>
        <w:rPr>
          <w:rFonts w:ascii="Arial" w:cs="Arial" w:eastAsia="Arial" w:hAnsi="Arial"/>
          <w:sz w:val="18"/>
          <w:szCs w:val="18"/>
          <w:color w:val="auto"/>
        </w:rPr>
        <w:t>We are developing a range of cell therapies, including CAR-T cells, in which the patient’s T cells are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to target cancer-specific antigens.</w:t>
      </w:r>
    </w:p>
    <w:p>
      <w:pPr>
        <w:spacing w:after="0" w:line="67" w:lineRule="exact"/>
        <w:rPr>
          <w:rFonts w:ascii="Arial" w:cs="Arial" w:eastAsia="Arial" w:hAnsi="Arial"/>
          <w:sz w:val="18"/>
          <w:szCs w:val="18"/>
          <w:color w:val="auto"/>
        </w:rPr>
      </w:pPr>
    </w:p>
    <w:p>
      <w:pPr>
        <w:ind w:left="1320" w:right="100" w:hanging="407"/>
        <w:spacing w:after="0" w:line="282"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next-generation antibodies, including bispecifics, that are designed to target immune checkpoints and</w:t>
      </w:r>
      <w:r>
        <w:rPr>
          <w:rFonts w:ascii="Arial" w:cs="Arial" w:eastAsia="Arial" w:hAnsi="Arial"/>
          <w:sz w:val="18"/>
          <w:szCs w:val="18"/>
          <w:b w:val="1"/>
          <w:bCs w:val="1"/>
          <w:color w:val="auto"/>
        </w:rPr>
        <w:t xml:space="preserve"> </w:t>
      </w:r>
      <w:r>
        <w:rPr>
          <w:rFonts w:ascii="Arial" w:cs="Arial" w:eastAsia="Arial" w:hAnsi="Arial"/>
          <w:sz w:val="18"/>
          <w:szCs w:val="18"/>
          <w:color w:val="auto"/>
        </w:rPr>
        <w:t>novel cancer antigens.</w:t>
      </w:r>
    </w:p>
    <w:p>
      <w:pPr>
        <w:spacing w:after="0" w:line="67" w:lineRule="exact"/>
        <w:rPr>
          <w:rFonts w:ascii="Arial" w:cs="Arial" w:eastAsia="Arial" w:hAnsi="Arial"/>
          <w:sz w:val="18"/>
          <w:szCs w:val="18"/>
          <w:color w:val="auto"/>
        </w:rPr>
      </w:pPr>
    </w:p>
    <w:p>
      <w:pPr>
        <w:ind w:left="1320" w:right="80" w:hanging="407"/>
        <w:spacing w:after="0" w:line="282"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discrete patterns of immunomodulation.</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We are focused on delivering on the promise of individualized immunotherapy for cancer patients. We believe that we can accomplish this by applying the following principles:</w:t>
      </w:r>
    </w:p>
    <w:p>
      <w:pPr>
        <w:spacing w:after="0" w:line="76" w:lineRule="exact"/>
        <w:rPr>
          <w:sz w:val="20"/>
          <w:szCs w:val="20"/>
          <w:color w:val="auto"/>
        </w:rPr>
      </w:pPr>
    </w:p>
    <w:p>
      <w:pPr>
        <w:ind w:left="1320" w:right="520" w:hanging="407"/>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Harnessing the full potential of the immune system by exploiting multiple drug classes and addressing multiple complementary immune pathways.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Broadening the universe of patients benefiting from cancer immunotherapy.</w:t>
      </w:r>
    </w:p>
    <w:p>
      <w:pPr>
        <w:spacing w:after="0" w:line="130" w:lineRule="exact"/>
        <w:rPr>
          <w:rFonts w:ascii="Arial" w:cs="Arial" w:eastAsia="Arial" w:hAnsi="Arial"/>
          <w:sz w:val="18"/>
          <w:szCs w:val="18"/>
          <w:color w:val="auto"/>
        </w:rPr>
      </w:pPr>
    </w:p>
    <w:p>
      <w:pPr>
        <w:ind w:left="1320" w:right="440" w:hanging="407"/>
        <w:spacing w:after="0" w:line="277"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Improving the success rate of treatment by developing and engineering highly potent, precise and target-specific drug candidates either as off-the-shelf or individualized immunotherapies.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Focusing on curative approaches by addressing interindividual variability and cancer heterogeneity.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355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5355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Our patient-centric model starts with profiling and diagnostics by utilizing a target identification engine. This engine combines next generation sequencing, genomics, bioinformatics, machine learning and artificial intelligence to (a) identify gene targets of interest, (b) characterize the functional relevance of these targets (i.e. the ability to raise an immune response to or through a target) and (c) demonstrate their drugability. From our founding onwards, we have been developing the novel technologies needed to match the identified targets to the optimal individualized treatment approach. Our patient-centric model is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345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7345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Our Pipeline</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are advancing a deep and broad portfolio of product candidates derived from our four drug classes.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hanging="94"/>
        <w:spacing w:after="0"/>
        <w:tabs>
          <w:tab w:leader="none" w:pos="480" w:val="left"/>
        </w:tabs>
        <w:numPr>
          <w:ilvl w:val="0"/>
          <w:numId w:val="4"/>
        </w:numPr>
        <w:rPr>
          <w:rFonts w:ascii="Arial" w:cs="Arial" w:eastAsia="Arial" w:hAnsi="Arial"/>
          <w:sz w:val="9"/>
          <w:szCs w:val="9"/>
          <w:color w:val="auto"/>
        </w:rPr>
      </w:pPr>
      <w:r>
        <w:rPr>
          <w:rFonts w:ascii="Arial" w:cs="Arial" w:eastAsia="Arial" w:hAnsi="Arial"/>
          <w:sz w:val="11"/>
          <w:szCs w:val="11"/>
          <w:color w:val="auto"/>
        </w:rPr>
        <w:t>BNT113 is currently being studied in an investigator-initiated Phase 1 trial</w:t>
      </w:r>
    </w:p>
    <w:p>
      <w:pPr>
        <w:spacing w:after="0" w:line="3" w:lineRule="exact"/>
        <w:rPr>
          <w:rFonts w:ascii="Arial" w:cs="Arial" w:eastAsia="Arial" w:hAnsi="Arial"/>
          <w:sz w:val="9"/>
          <w:szCs w:val="9"/>
          <w:color w:val="auto"/>
        </w:rPr>
      </w:pPr>
    </w:p>
    <w:p>
      <w:pPr>
        <w:ind w:left="38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0"/>
          <w:szCs w:val="10"/>
          <w:color w:val="auto"/>
        </w:rPr>
        <w:t>We are eligible to receive worldwide licenses</w:t>
      </w:r>
    </w:p>
    <w:p>
      <w:pPr>
        <w:spacing w:after="0" w:line="6" w:lineRule="exact"/>
        <w:rPr>
          <w:rFonts w:ascii="Arial" w:cs="Arial" w:eastAsia="Arial" w:hAnsi="Arial"/>
          <w:sz w:val="9"/>
          <w:szCs w:val="9"/>
          <w:color w:val="auto"/>
        </w:rPr>
      </w:pPr>
    </w:p>
    <w:p>
      <w:pPr>
        <w:ind w:left="380"/>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0"/>
          <w:szCs w:val="10"/>
          <w:color w:val="auto"/>
        </w:rPr>
        <w:t>Protein Replacement Therapy</w:t>
      </w:r>
    </w:p>
    <w:p>
      <w:pPr>
        <w:spacing w:after="0" w:line="6" w:lineRule="exact"/>
        <w:rPr>
          <w:rFonts w:ascii="Arial" w:cs="Arial" w:eastAsia="Arial" w:hAnsi="Arial"/>
          <w:sz w:val="9"/>
          <w:szCs w:val="9"/>
          <w:color w:val="auto"/>
        </w:rPr>
      </w:pPr>
    </w:p>
    <w:p>
      <w:pPr>
        <w:ind w:left="380" w:right="759"/>
        <w:spacing w:after="0" w:line="281"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0"/>
          <w:szCs w:val="10"/>
          <w:color w:val="auto"/>
        </w:rPr>
        <w:t>We expect this topline data update to include an update on the ongoing study, including patient enrollment numbers, with full efficacy and safety data for an interim update expected in the second half of 2021.</w:t>
      </w:r>
      <w:r>
        <w:rPr>
          <w:rFonts w:ascii="Arial" w:cs="Arial" w:eastAsia="Arial" w:hAnsi="Arial"/>
          <w:sz w:val="9"/>
          <w:szCs w:val="9"/>
          <w:color w:val="auto"/>
        </w:rPr>
        <w:t xml:space="preserve"> 5 </w:t>
      </w:r>
      <w:r>
        <w:rPr>
          <w:rFonts w:ascii="Arial" w:cs="Arial" w:eastAsia="Arial" w:hAnsi="Arial"/>
          <w:sz w:val="10"/>
          <w:szCs w:val="10"/>
          <w:color w:val="auto"/>
        </w:rPr>
        <w:t>As the trial is sponsored and conducted by Sanofi, the timing of data updates is not under our control, and is subject to change by Sanofi.</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69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58699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firstLine="426"/>
        <w:spacing w:after="0" w:line="279" w:lineRule="auto"/>
        <w:rPr>
          <w:sz w:val="20"/>
          <w:szCs w:val="20"/>
          <w:color w:val="auto"/>
        </w:rPr>
      </w:pPr>
      <w:r>
        <w:rPr>
          <w:rFonts w:ascii="Arial" w:cs="Arial" w:eastAsia="Arial" w:hAnsi="Arial"/>
          <w:sz w:val="17"/>
          <w:szCs w:val="17"/>
          <w:color w:val="auto"/>
        </w:rPr>
        <w:t>We believe the breadth of our technology is greater than the sum of its parts as it positions us to combine modes of action in a coordinated, potentially synergistic way to treat cancer in a more efficacious manner than current existing therapies. We further believe that our patient-centric approach and our broad, potentially synergistic portfolio of drug platforms place us at the forefront of a paradigm shift toward individualized immunotherapies and allow us to potentially address a larger share of cancer patients,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We have established relationships with seven pharmaceutical collaborators, which comprise Genentech, Sanofi S.A., or Sanofi, Genmab A/S, or Genmab, Genevant Sciences GmbH, or Genevant, Eli Lilly and Company, or Eli Lilly, Bayer AG, or Bayer, and Pfizer Inc., or Pfizer, in order to advance our science and development capabilities and provide non-dilutive capital. In addition, we have established research collaborations with the University of Pennsylvania and Translational Oncology at the University Medical Center of the Johannes Gutenberg University Mainz (Translationale Onkologie an der Universitätsmedizin der Johannes Gutenberg Universität Mainz gemeinnützige GmbH), or TRON.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78"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Our ability to develop, control and optimize the manufacturing of our product candidates is a core strategic pillar and competitive advantage, especially for our individualized mRNA product candidates. We operate three Good Manufacturing Practice, or GMP, certified manufacturing facilities in Germany, where we manufacture mRNA therapeutics and engineered cell therapies for our own pipeline and for external customers. We operate a fourth manufacturing facility in Germany where we manufacture custom peptides to support our extensive immunomonitoring activities, which are critical to our development programs. Additionally, we have collaborated with Siemens AG to develop efficient, semi-automated processes to produce our individualized mRNA immunotherapies on demand.</w:t>
      </w:r>
    </w:p>
    <w:p>
      <w:pPr>
        <w:spacing w:after="0" w:line="178"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Our team is comprised of first-movers and entrepreneurs in the fields of immunology and oncology, with experience in pioneering cutting-edge technologies for new, forward-looking therapeutic applications in order to capture new opportunities. Our scientific founders each have over 25 years of experience characterizing the molecular signatures of cancer and discovering potent high-precision immunotherapies. They are translating this combined knowledge into the development of highly individualized treatments to target patients’ specific cancers and other diseases. Our co-founders, Chief Executive Officer Prof. Ugur Sahin, M.D., and Supervisory Board member Prof. Christoph Huber, M.D., along with our Chief Medical Officer Özlem Türeci, M.D., have been published widely in the field of immunology and oncology and are recognized as thought leaders in their disciplines.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8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384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312" w:lineRule="auto"/>
        <w:rPr>
          <w:sz w:val="20"/>
          <w:szCs w:val="20"/>
          <w:color w:val="auto"/>
        </w:rPr>
      </w:pPr>
      <w:r>
        <w:rPr>
          <w:rFonts w:ascii="Arial" w:cs="Arial" w:eastAsia="Arial" w:hAnsi="Arial"/>
          <w:sz w:val="16"/>
          <w:szCs w:val="16"/>
          <w:color w:val="auto"/>
        </w:rPr>
        <w:t>We were founded in 2008, and to date we have raised $1.3 billion of capital in private placements of our shares and from our collaborators. Our investors currently include the Strüngmann family office, which is our majority shareholder, MIG Fonds, Salvia GmbH, Fidelity Management &amp; Research Company, Redmile Group, Janus Henderson Investors, the Invus Group, LLC and the Bill &amp; Melinda Gates Foundation.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key strengths include:</w:t>
      </w:r>
    </w:p>
    <w:p>
      <w:pPr>
        <w:spacing w:after="0" w:line="131" w:lineRule="exact"/>
        <w:rPr>
          <w:sz w:val="20"/>
          <w:szCs w:val="20"/>
          <w:color w:val="auto"/>
        </w:rPr>
      </w:pPr>
    </w:p>
    <w:p>
      <w:pPr>
        <w:ind w:left="1320" w:right="320" w:hanging="407"/>
        <w:spacing w:after="0" w:line="277"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next-generation immunotherapy powerhouse pioneering individualized immunotherapies to address the shortcomings of existing treatments for cancer and other indications with significant unmet need.</w:t>
      </w:r>
    </w:p>
    <w:p>
      <w:pPr>
        <w:spacing w:after="0" w:line="75" w:lineRule="exact"/>
        <w:rPr>
          <w:rFonts w:ascii="Arial" w:cs="Arial" w:eastAsia="Arial" w:hAnsi="Arial"/>
          <w:sz w:val="18"/>
          <w:szCs w:val="18"/>
          <w:color w:val="auto"/>
        </w:rPr>
      </w:pPr>
    </w:p>
    <w:p>
      <w:pPr>
        <w:ind w:left="1320" w:right="580" w:hanging="407"/>
        <w:spacing w:after="0" w:line="277"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developing product candidates addressing highly specific immuno-oncology targets, employing a technology-agnostic approach.</w:t>
      </w:r>
    </w:p>
    <w:p>
      <w:pPr>
        <w:spacing w:after="0" w:line="75" w:lineRule="exact"/>
        <w:rPr>
          <w:rFonts w:ascii="Arial" w:cs="Arial" w:eastAsia="Arial" w:hAnsi="Arial"/>
          <w:sz w:val="18"/>
          <w:szCs w:val="18"/>
          <w:color w:val="auto"/>
        </w:rPr>
      </w:pPr>
    </w:p>
    <w:p>
      <w:pPr>
        <w:ind w:left="1320" w:right="100" w:hanging="407"/>
        <w:spacing w:after="0" w:line="277"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tested our lead mRNA product candidates in over 250 patients and have already demonstrated signs of single-agent clinical activity in our two lead programs.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developed a very broad and advanced mRNA therapeutic portfolio for the treatment of cancer.</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deep, diversified pipeline and expect data updates for up to five oncology programs by the end of 2020.</w:t>
      </w:r>
    </w:p>
    <w:p>
      <w:pPr>
        <w:spacing w:after="0" w:line="130" w:lineRule="exact"/>
        <w:rPr>
          <w:rFonts w:ascii="Arial" w:cs="Arial" w:eastAsia="Arial" w:hAnsi="Arial"/>
          <w:sz w:val="18"/>
          <w:szCs w:val="18"/>
          <w:color w:val="auto"/>
        </w:rPr>
      </w:pPr>
    </w:p>
    <w:p>
      <w:pPr>
        <w:ind w:left="1320" w:right="700" w:hanging="407"/>
        <w:spacing w:after="0" w:line="277"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formed multiple collaborations with leading pharmaceutical companies and have retained significant development, commercial and financial rights across our portfolio.</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created a vertically integrated business with comprehensive in-house manufacturing capabilities.</w:t>
      </w:r>
    </w:p>
    <w:p>
      <w:pPr>
        <w:spacing w:after="0" w:line="130"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scientific DNA, which is the foundation of the BioNTech approach, has attracted a talented team from nearly 50 countries around the world.</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 deliver our vision of truly individualized immunotherapies, we plan to:</w:t>
      </w:r>
    </w:p>
    <w:p>
      <w:pPr>
        <w:spacing w:after="0" w:line="131" w:lineRule="exact"/>
        <w:rPr>
          <w:sz w:val="20"/>
          <w:szCs w:val="20"/>
          <w:color w:val="auto"/>
        </w:rPr>
      </w:pPr>
    </w:p>
    <w:p>
      <w:pPr>
        <w:ind w:left="1320" w:right="660" w:hanging="407"/>
        <w:spacing w:after="0" w:line="277"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advance our potential first-in-class product candidates derived from our FixVac and iNeST platforms toward market approvals in oncology, either on our own or with our collaborators.</w:t>
      </w:r>
    </w:p>
    <w:p>
      <w:pPr>
        <w:spacing w:after="0" w:line="75" w:lineRule="exact"/>
        <w:rPr>
          <w:rFonts w:ascii="Arial" w:cs="Arial" w:eastAsia="Arial" w:hAnsi="Arial"/>
          <w:sz w:val="18"/>
          <w:szCs w:val="18"/>
          <w:color w:val="auto"/>
        </w:rPr>
      </w:pPr>
    </w:p>
    <w:p>
      <w:pPr>
        <w:ind w:left="1320" w:right="60" w:hanging="407"/>
        <w:spacing w:after="0" w:line="277"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Progress additional product candidates through clinical development, leveraging our multiple drug classes and the synergies between them in order to expand our oncology pipeline.</w:t>
      </w:r>
    </w:p>
    <w:p>
      <w:pPr>
        <w:spacing w:after="0" w:line="75" w:lineRule="exact"/>
        <w:rPr>
          <w:rFonts w:ascii="Arial" w:cs="Arial" w:eastAsia="Arial" w:hAnsi="Arial"/>
          <w:sz w:val="18"/>
          <w:szCs w:val="18"/>
          <w:color w:val="auto"/>
        </w:rPr>
      </w:pPr>
    </w:p>
    <w:p>
      <w:pPr>
        <w:ind w:left="1320" w:right="200" w:hanging="407"/>
        <w:spacing w:after="0" w:line="277"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Maximize the potential and leverage the broad applicability of our mRNA drug class in additional therapeutic areas beyond cancer, including through selective collaborations.</w:t>
      </w:r>
    </w:p>
    <w:p>
      <w:pPr>
        <w:spacing w:after="0" w:line="75" w:lineRule="exact"/>
        <w:rPr>
          <w:rFonts w:ascii="Arial" w:cs="Arial" w:eastAsia="Arial" w:hAnsi="Arial"/>
          <w:sz w:val="18"/>
          <w:szCs w:val="18"/>
          <w:color w:val="auto"/>
        </w:rPr>
      </w:pPr>
    </w:p>
    <w:p>
      <w:pPr>
        <w:ind w:left="1320" w:right="400" w:hanging="407"/>
        <w:spacing w:after="0" w:line="277"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 our position as a leader in the highly automated, on-demand manufacture of individualized therapies with the goal of delivering our therapies globally.</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 commercial organization to bring our portfolio of cancer immunotherapies to patients.</w:t>
      </w:r>
    </w:p>
    <w:p>
      <w:pPr>
        <w:spacing w:after="0" w:line="130" w:lineRule="exact"/>
        <w:rPr>
          <w:rFonts w:ascii="Arial" w:cs="Arial" w:eastAsia="Arial" w:hAnsi="Arial"/>
          <w:sz w:val="18"/>
          <w:szCs w:val="18"/>
          <w:color w:val="auto"/>
        </w:rPr>
      </w:pPr>
    </w:p>
    <w:p>
      <w:pPr>
        <w:ind w:left="1320" w:right="800" w:hanging="407"/>
        <w:spacing w:after="0" w:line="277"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current technology suite by continuing to develop existing and new drug classes and platforms, and selectively in-licensing technologies that are complementary to our existing pipeline.</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our culture of scientific excellence to continue to drive future innovation.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27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6727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section of this prospectus titled “Risk Factors” immediately following this prospectus summary. These risks include, but are not limited to, the following:</w:t>
      </w:r>
    </w:p>
    <w:p>
      <w:pPr>
        <w:spacing w:after="0" w:line="87" w:lineRule="exact"/>
        <w:rPr>
          <w:sz w:val="20"/>
          <w:szCs w:val="20"/>
          <w:color w:val="auto"/>
        </w:rPr>
      </w:pPr>
    </w:p>
    <w:p>
      <w:pPr>
        <w:ind w:left="1320" w:hanging="407"/>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no pharmaceutical products approved for commercial sale.</w:t>
      </w:r>
    </w:p>
    <w:p>
      <w:pPr>
        <w:spacing w:after="0" w:line="130" w:lineRule="exact"/>
        <w:rPr>
          <w:rFonts w:ascii="Arial" w:cs="Arial" w:eastAsia="Arial" w:hAnsi="Arial"/>
          <w:sz w:val="18"/>
          <w:szCs w:val="18"/>
          <w:color w:val="auto"/>
        </w:rPr>
      </w:pPr>
    </w:p>
    <w:p>
      <w:pPr>
        <w:ind w:left="1320" w:right="46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anticipate that we will continue to incur significant losses for the foreseeable future.</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w:t>
      </w:r>
    </w:p>
    <w:p>
      <w:pPr>
        <w:spacing w:after="0" w:line="130" w:lineRule="exact"/>
        <w:rPr>
          <w:rFonts w:ascii="Arial" w:cs="Arial" w:eastAsia="Arial" w:hAnsi="Arial"/>
          <w:sz w:val="18"/>
          <w:szCs w:val="18"/>
          <w:color w:val="auto"/>
        </w:rPr>
      </w:pPr>
    </w:p>
    <w:p>
      <w:pPr>
        <w:ind w:left="1320" w:right="20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to develop and expand our company, and we may encounter difficulties in managing this development and expansion, which could disrupt our operations.</w:t>
      </w:r>
    </w:p>
    <w:p>
      <w:pPr>
        <w:spacing w:after="0" w:line="75" w:lineRule="exact"/>
        <w:rPr>
          <w:rFonts w:ascii="Arial" w:cs="Arial" w:eastAsia="Arial" w:hAnsi="Arial"/>
          <w:sz w:val="18"/>
          <w:szCs w:val="18"/>
          <w:color w:val="auto"/>
        </w:rPr>
      </w:pPr>
    </w:p>
    <w:p>
      <w:pPr>
        <w:ind w:left="1320" w:right="8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Pharmaceutical product development is inherently uncertain, and there is no guarantee that any of our product candidates will receive marketing approval.</w:t>
      </w:r>
    </w:p>
    <w:p>
      <w:pPr>
        <w:spacing w:after="0" w:line="75"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mRNA immunotherapy has been approved, and none may ever be approved, in this new potential category of therapeutics. mRNA drug development has substantial clinical development and regulatory risks due to the novel and unprecedented nature of this new category of therapeutics.</w:t>
      </w:r>
    </w:p>
    <w:p>
      <w:pPr>
        <w:spacing w:after="0" w:line="86" w:lineRule="exact"/>
        <w:rPr>
          <w:rFonts w:ascii="Arial" w:cs="Arial" w:eastAsia="Arial" w:hAnsi="Arial"/>
          <w:sz w:val="18"/>
          <w:szCs w:val="18"/>
          <w:color w:val="auto"/>
        </w:rPr>
      </w:pPr>
    </w:p>
    <w:p>
      <w:pPr>
        <w:ind w:left="1320" w:right="460" w:hanging="407"/>
        <w:spacing w:after="0" w:line="279"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Some of our product candidates are classified as gene therapies by the U.S. Food and Drug Administration and the European Medicines Agency.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76" w:lineRule="exact"/>
        <w:rPr>
          <w:rFonts w:ascii="Arial" w:cs="Arial" w:eastAsia="Arial" w:hAnsi="Arial"/>
          <w:sz w:val="17"/>
          <w:szCs w:val="17"/>
          <w:color w:val="auto"/>
        </w:rPr>
      </w:pPr>
    </w:p>
    <w:p>
      <w:pPr>
        <w:ind w:left="1320" w:right="20" w:hanging="407"/>
        <w:spacing w:after="0" w:line="264"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not work as intended, may cause undesirable side effects or may have other properties that could delay or prevent their regulatory approval, limit the commercial profile of an approved label or result in significant negative consequences following marketing approval, if any.</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be unable to obtain regulatory approval for our product candidates under applicable international regulatory requirements.</w:t>
      </w:r>
    </w:p>
    <w:p>
      <w:pPr>
        <w:spacing w:after="0" w:line="153" w:lineRule="exact"/>
        <w:rPr>
          <w:rFonts w:ascii="Arial" w:cs="Arial" w:eastAsia="Arial" w:hAnsi="Arial"/>
          <w:sz w:val="16"/>
          <w:szCs w:val="16"/>
          <w:color w:val="auto"/>
        </w:rPr>
      </w:pPr>
    </w:p>
    <w:p>
      <w:pPr>
        <w:ind w:left="1320" w:right="4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our failure to effectively compete would prevent us from achieving significant market penetration.</w:t>
      </w:r>
    </w:p>
    <w:p>
      <w:pPr>
        <w:spacing w:after="0" w:line="75" w:lineRule="exact"/>
        <w:rPr>
          <w:rFonts w:ascii="Arial" w:cs="Arial" w:eastAsia="Arial" w:hAnsi="Arial"/>
          <w:sz w:val="18"/>
          <w:szCs w:val="18"/>
          <w:color w:val="auto"/>
        </w:rPr>
      </w:pPr>
    </w:p>
    <w:p>
      <w:pPr>
        <w:ind w:left="1320" w:right="46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we receive regulatory approval for our product candidates, the products may not gain market acceptance and we and our collaborators may not be able to effectively commercialize them.</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not successful in developing and commercializing our product candidates, our ability to expand our business and achieve our strategic objectives will be impaired.</w:t>
      </w:r>
    </w:p>
    <w:p>
      <w:pPr>
        <w:spacing w:after="0" w:line="75" w:lineRule="exact"/>
        <w:rPr>
          <w:rFonts w:ascii="Arial" w:cs="Arial" w:eastAsia="Arial" w:hAnsi="Arial"/>
          <w:sz w:val="18"/>
          <w:szCs w:val="18"/>
          <w:color w:val="auto"/>
        </w:rPr>
      </w:pPr>
    </w:p>
    <w:p>
      <w:pPr>
        <w:ind w:left="1320" w:hanging="407"/>
        <w:spacing w:after="0" w:line="286" w:lineRule="auto"/>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dependent on our collaborators for advancing the development and commercialization of certain of our product candidates. These collaborations may not be successful, which could significantly limit the likelihood of receiving the potential economic benefits of such collaborations and adversely affect our ability to develop and commercialize our product candidates.</w:t>
      </w:r>
    </w:p>
    <w:p>
      <w:pPr>
        <w:spacing w:after="0" w:line="70" w:lineRule="exact"/>
        <w:rPr>
          <w:rFonts w:ascii="Arial" w:cs="Arial" w:eastAsia="Arial" w:hAnsi="Arial"/>
          <w:sz w:val="17"/>
          <w:szCs w:val="17"/>
          <w:color w:val="auto"/>
        </w:rPr>
      </w:pPr>
    </w:p>
    <w:p>
      <w:pPr>
        <w:ind w:left="1320" w:right="500" w:hanging="407"/>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entered into several arrangements with a related party for the performance of nonclinical research programs, and these arrangements present potential conflicts of interest.</w:t>
      </w:r>
    </w:p>
    <w:p>
      <w:pPr>
        <w:spacing w:after="0" w:line="75" w:lineRule="exact"/>
        <w:rPr>
          <w:rFonts w:ascii="Arial" w:cs="Arial" w:eastAsia="Arial" w:hAnsi="Arial"/>
          <w:sz w:val="18"/>
          <w:szCs w:val="18"/>
          <w:color w:val="auto"/>
        </w:rPr>
      </w:pPr>
    </w:p>
    <w:p>
      <w:pPr>
        <w:ind w:left="1320" w:right="40" w:hanging="407"/>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47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6247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407"/>
        <w:spacing w:after="0"/>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encounter difficulties in manufacturing, product release, shelf life, testing, storage, supply chain management or shipping.</w:t>
      </w:r>
    </w:p>
    <w:p>
      <w:pPr>
        <w:spacing w:after="0" w:line="153" w:lineRule="exact"/>
        <w:rPr>
          <w:rFonts w:ascii="Arial" w:cs="Arial" w:eastAsia="Arial" w:hAnsi="Arial"/>
          <w:sz w:val="16"/>
          <w:szCs w:val="16"/>
          <w:color w:val="auto"/>
        </w:rPr>
      </w:pPr>
    </w:p>
    <w:p>
      <w:pPr>
        <w:ind w:left="1320" w:right="600" w:hanging="407"/>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our product candidates are uniquely manufactured for each patient and we may encounter difficulties in production, particularly with respect to scaling our manufacturing capabilities.</w:t>
      </w:r>
    </w:p>
    <w:p>
      <w:pPr>
        <w:spacing w:after="0" w:line="75" w:lineRule="exact"/>
        <w:rPr>
          <w:rFonts w:ascii="Arial" w:cs="Arial" w:eastAsia="Arial" w:hAnsi="Arial"/>
          <w:sz w:val="18"/>
          <w:szCs w:val="18"/>
          <w:color w:val="auto"/>
        </w:rPr>
      </w:pPr>
    </w:p>
    <w:p>
      <w:pPr>
        <w:ind w:left="1320" w:right="660" w:hanging="407"/>
        <w:spacing w:after="0" w:line="277"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efforts to obtain, maintain, protect, defend and/or enforce the intellectual property related to our product candidates and technologies are not adequate, we may not be able to compete effectively in our market.</w:t>
      </w:r>
    </w:p>
    <w:p>
      <w:pPr>
        <w:spacing w:after="0" w:line="75" w:lineRule="exact"/>
        <w:rPr>
          <w:rFonts w:ascii="Arial" w:cs="Arial" w:eastAsia="Arial" w:hAnsi="Arial"/>
          <w:sz w:val="18"/>
          <w:szCs w:val="18"/>
          <w:color w:val="auto"/>
        </w:rPr>
      </w:pPr>
    </w:p>
    <w:p>
      <w:pPr>
        <w:ind w:left="1320" w:right="20" w:hanging="407"/>
        <w:spacing w:after="0" w:line="308" w:lineRule="auto"/>
        <w:tabs>
          <w:tab w:leader="none" w:pos="1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involved in lawsuits to protect or enforce our intellectual property or the intellectual property of our licensors, or to defend against third-party claims that we infringe, misappropriate or otherwise violate such third party’s intellectual property.</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We were incorporated on June 2, 2008 as Petersberg 91, V V AG, a German stock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We changed our name to BioNTech AG on December 11, 2008. On March 8, 2019, we converted to a European stock corporation (</w:t>
      </w:r>
      <w:r>
        <w:rPr>
          <w:rFonts w:ascii="Arial" w:cs="Arial" w:eastAsia="Arial" w:hAnsi="Arial"/>
          <w:sz w:val="18"/>
          <w:szCs w:val="18"/>
          <w:i w:val="1"/>
          <w:iCs w:val="1"/>
          <w:color w:val="auto"/>
        </w:rPr>
        <w:t>Societas Europaea</w:t>
      </w:r>
      <w:r>
        <w:rPr>
          <w:rFonts w:ascii="Arial" w:cs="Arial" w:eastAsia="Arial" w:hAnsi="Arial"/>
          <w:sz w:val="18"/>
          <w:szCs w:val="18"/>
          <w:color w:val="auto"/>
        </w:rPr>
        <w:t>, or SE) under the laws of Germany and the European Union called BioNTech SE.</w:t>
      </w:r>
    </w:p>
    <w:p>
      <w:pPr>
        <w:spacing w:after="0" w:line="181" w:lineRule="exact"/>
        <w:rPr>
          <w:sz w:val="20"/>
          <w:szCs w:val="20"/>
          <w:color w:val="auto"/>
        </w:rPr>
      </w:pPr>
    </w:p>
    <w:p>
      <w:pPr>
        <w:jc w:val="both"/>
        <w:ind w:left="380" w:right="160" w:firstLine="426"/>
        <w:spacing w:after="0" w:line="286" w:lineRule="auto"/>
        <w:rPr>
          <w:sz w:val="20"/>
          <w:szCs w:val="20"/>
          <w:color w:val="auto"/>
        </w:rPr>
      </w:pPr>
      <w:r>
        <w:rPr>
          <w:rFonts w:ascii="Arial" w:cs="Arial" w:eastAsia="Arial" w:hAnsi="Arial"/>
          <w:sz w:val="17"/>
          <w:szCs w:val="17"/>
          <w:color w:val="auto"/>
        </w:rPr>
        <w:t>Our principal executive offices are located at An der Goldgrube 12, D-55131 Mainz, Germany. Our telephone number is +49 6131-9084-0. Our website address is http://www.biontech.de. The information contained on, or that can be accessed through, our website is not incorporated by reference into this prospectus. We have included our website address as an inactive textual reference only.</w:t>
      </w:r>
    </w:p>
    <w:p>
      <w:pPr>
        <w:spacing w:after="0" w:line="270" w:lineRule="exact"/>
        <w:rPr>
          <w:sz w:val="20"/>
          <w:szCs w:val="20"/>
          <w:color w:val="auto"/>
        </w:rPr>
      </w:pPr>
    </w:p>
    <w:p>
      <w:pPr>
        <w:ind w:left="380" w:right="4280"/>
        <w:spacing w:after="0" w:line="378" w:lineRule="auto"/>
        <w:rPr>
          <w:sz w:val="20"/>
          <w:szCs w:val="20"/>
          <w:color w:val="auto"/>
        </w:rPr>
      </w:pPr>
      <w:r>
        <w:rPr>
          <w:rFonts w:ascii="Arial" w:cs="Arial" w:eastAsia="Arial" w:hAnsi="Arial"/>
          <w:sz w:val="18"/>
          <w:szCs w:val="18"/>
          <w:b w:val="1"/>
          <w:bCs w:val="1"/>
          <w:color w:val="auto"/>
        </w:rPr>
        <w:t xml:space="preserve">Implications of Being an Emerging Growth Company and a Foreign Private Issuer </w:t>
      </w:r>
      <w:r>
        <w:rPr>
          <w:rFonts w:ascii="Arial" w:cs="Arial" w:eastAsia="Arial" w:hAnsi="Arial"/>
          <w:sz w:val="18"/>
          <w:szCs w:val="18"/>
          <w:b w:val="1"/>
          <w:bCs w:val="1"/>
          <w:i w:val="1"/>
          <w:iCs w:val="1"/>
          <w:color w:val="auto"/>
        </w:rPr>
        <w:t>Emerging Growth Company</w:t>
      </w:r>
    </w:p>
    <w:p>
      <w:pPr>
        <w:jc w:val="both"/>
        <w:ind w:left="380" w:right="360" w:firstLine="426"/>
        <w:spacing w:after="0" w:line="312" w:lineRule="auto"/>
        <w:rPr>
          <w:sz w:val="20"/>
          <w:szCs w:val="20"/>
          <w:color w:val="auto"/>
        </w:rPr>
      </w:pPr>
      <w:r>
        <w:rPr>
          <w:rFonts w:ascii="Arial" w:cs="Arial" w:eastAsia="Arial" w:hAnsi="Arial"/>
          <w:sz w:val="16"/>
          <w:szCs w:val="16"/>
          <w:color w:val="auto"/>
        </w:rPr>
        <w:t>As a company with less than $1.07 billion in revenue during our last fiscal year, we are an “emerging growth company” as defined in the Jumpstart Our Business Startups Act of 2012, or the JOBS Act. As such, we may take advantage of certain exemptions from various reporting requirements that are applicable to publicly traded entities that are not emerging growth companies. These exemptions include:</w:t>
      </w:r>
    </w:p>
    <w:p>
      <w:pPr>
        <w:spacing w:after="0" w:line="52" w:lineRule="exact"/>
        <w:rPr>
          <w:sz w:val="20"/>
          <w:szCs w:val="20"/>
          <w:color w:val="auto"/>
        </w:rPr>
      </w:pPr>
    </w:p>
    <w:p>
      <w:pPr>
        <w:ind w:left="1320" w:right="480" w:hanging="407"/>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as amended;</w:t>
      </w:r>
    </w:p>
    <w:p>
      <w:pPr>
        <w:spacing w:after="0" w:line="75" w:lineRule="exact"/>
        <w:rPr>
          <w:rFonts w:ascii="Arial" w:cs="Arial" w:eastAsia="Arial" w:hAnsi="Arial"/>
          <w:sz w:val="18"/>
          <w:szCs w:val="18"/>
          <w:color w:val="auto"/>
        </w:rPr>
      </w:pPr>
    </w:p>
    <w:p>
      <w:pPr>
        <w:ind w:left="1320" w:right="60" w:hanging="407"/>
        <w:spacing w:after="0" w:line="264"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 to hold a non-binding advisory vote on executive compensation, including golden parachute compensation; and</w:t>
      </w:r>
    </w:p>
    <w:p>
      <w:pPr>
        <w:spacing w:after="0" w:line="86" w:lineRule="exact"/>
        <w:rPr>
          <w:rFonts w:ascii="Arial" w:cs="Arial" w:eastAsia="Arial" w:hAnsi="Arial"/>
          <w:sz w:val="18"/>
          <w:szCs w:val="18"/>
          <w:color w:val="auto"/>
        </w:rPr>
      </w:pPr>
    </w:p>
    <w:p>
      <w:pPr>
        <w:ind w:left="1320" w:right="200" w:hanging="407"/>
        <w:spacing w:after="0" w:line="308" w:lineRule="auto"/>
        <w:tabs>
          <w:tab w:leader="none" w:pos="1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exemption from compliance with the requirement that the Public Company Accounting Oversight Board has adopted regarding a supplement to the auditor’s report providing additional information about the audit and the financial statements.</w:t>
      </w:r>
    </w:p>
    <w:p>
      <w:pPr>
        <w:spacing w:after="0" w:line="147" w:lineRule="exact"/>
        <w:rPr>
          <w:sz w:val="20"/>
          <w:szCs w:val="20"/>
          <w:color w:val="auto"/>
        </w:rPr>
      </w:pPr>
    </w:p>
    <w:p>
      <w:pPr>
        <w:ind w:left="380" w:right="220" w:firstLine="426"/>
        <w:spacing w:after="0" w:line="277" w:lineRule="auto"/>
        <w:rPr>
          <w:sz w:val="20"/>
          <w:szCs w:val="20"/>
          <w:color w:val="auto"/>
        </w:rPr>
      </w:pPr>
      <w:r>
        <w:rPr>
          <w:rFonts w:ascii="Arial" w:cs="Arial" w:eastAsia="Arial" w:hAnsi="Arial"/>
          <w:sz w:val="18"/>
          <w:szCs w:val="18"/>
          <w:color w:val="auto"/>
        </w:rPr>
        <w:t>As a result, the information contained in this prospectus may be different from the information you receive from other public companies in which you hold shares.</w:t>
      </w:r>
    </w:p>
    <w:p>
      <w:pPr>
        <w:spacing w:after="0" w:line="170" w:lineRule="exact"/>
        <w:rPr>
          <w:sz w:val="20"/>
          <w:szCs w:val="20"/>
          <w:color w:val="auto"/>
        </w:rPr>
      </w:pPr>
    </w:p>
    <w:p>
      <w:pPr>
        <w:ind w:left="380" w:right="600" w:firstLine="426"/>
        <w:spacing w:after="0" w:line="277" w:lineRule="auto"/>
        <w:rPr>
          <w:sz w:val="20"/>
          <w:szCs w:val="20"/>
          <w:color w:val="auto"/>
        </w:rPr>
      </w:pPr>
      <w:r>
        <w:rPr>
          <w:rFonts w:ascii="Arial" w:cs="Arial" w:eastAsia="Arial" w:hAnsi="Arial"/>
          <w:sz w:val="18"/>
          <w:szCs w:val="18"/>
          <w:color w:val="auto"/>
        </w:rPr>
        <w:t>Section 107 of the JOBS Act also provides that an emerging growth company can take advantage of an extended transition period for complying with new or revised accounting standards applicable to public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35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86" w:lineRule="auto"/>
        <w:rPr>
          <w:sz w:val="20"/>
          <w:szCs w:val="20"/>
          <w:color w:val="auto"/>
        </w:rPr>
      </w:pPr>
      <w:r>
        <w:rPr>
          <w:rFonts w:ascii="Arial" w:cs="Arial" w:eastAsia="Arial" w:hAnsi="Arial"/>
          <w:sz w:val="17"/>
          <w:szCs w:val="17"/>
          <w:color w:val="auto"/>
        </w:rPr>
        <w:t>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IASB.</w:t>
      </w:r>
    </w:p>
    <w:p>
      <w:pPr>
        <w:spacing w:after="0" w:line="166" w:lineRule="exact"/>
        <w:rPr>
          <w:sz w:val="20"/>
          <w:szCs w:val="20"/>
          <w:color w:val="auto"/>
        </w:rPr>
      </w:pPr>
    </w:p>
    <w:p>
      <w:pPr>
        <w:ind w:left="380" w:right="80" w:firstLine="426"/>
        <w:spacing w:after="0" w:line="276" w:lineRule="auto"/>
        <w:rPr>
          <w:sz w:val="20"/>
          <w:szCs w:val="20"/>
          <w:color w:val="auto"/>
        </w:rPr>
      </w:pPr>
      <w:r>
        <w:rPr>
          <w:rFonts w:ascii="Arial" w:cs="Arial" w:eastAsia="Arial" w:hAnsi="Arial"/>
          <w:sz w:val="17"/>
          <w:szCs w:val="17"/>
          <w:color w:val="auto"/>
        </w:rPr>
        <w:t>We may take advantage of these provisions for up to five years or until such earlier time that we are no longer an emerging growth company. We would cease to be an emerging growth company upon the earliest to occur of: (i) the last day of the first fiscal year in which our annual gross revenues exceed $1.07 billion, (ii) the date on which we have issued more than $1 billion in non-convertible debt securities during the previous three years and (iii) the first day of the year following the first year in which, as of the last business day of our most recently completed second fiscal quarter, the market value of our common equity held by non-affiliates exceeds $700 million.</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117" w:lineRule="exact"/>
        <w:rPr>
          <w:sz w:val="20"/>
          <w:szCs w:val="20"/>
          <w:color w:val="auto"/>
        </w:rPr>
      </w:pPr>
    </w:p>
    <w:p>
      <w:pPr>
        <w:ind w:left="380" w:right="220" w:firstLine="426"/>
        <w:spacing w:after="0" w:line="259" w:lineRule="auto"/>
        <w:rPr>
          <w:sz w:val="20"/>
          <w:szCs w:val="20"/>
          <w:color w:val="auto"/>
        </w:rPr>
      </w:pPr>
      <w:r>
        <w:rPr>
          <w:rFonts w:ascii="Arial" w:cs="Arial" w:eastAsia="Arial" w:hAnsi="Arial"/>
          <w:sz w:val="18"/>
          <w:szCs w:val="18"/>
          <w:color w:val="auto"/>
        </w:rPr>
        <w:t>Upon the completion of this offering, we will report under the Securities Exchange Act of 1934, as amended, or the Exchange Act, as a non-U.S. company with foreign private issuer status. Even after we no longer qualify as an emerging growth company, as long as we continue to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320" w:hanging="407"/>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rules under the Exchange Act requiring domestic filers to issue financial statements prepared under U.S. GAAP;</w:t>
      </w:r>
    </w:p>
    <w:p>
      <w:pPr>
        <w:spacing w:after="0" w:line="130" w:lineRule="exact"/>
        <w:rPr>
          <w:rFonts w:ascii="Arial" w:cs="Arial" w:eastAsia="Arial" w:hAnsi="Arial"/>
          <w:sz w:val="18"/>
          <w:szCs w:val="18"/>
          <w:color w:val="auto"/>
        </w:rPr>
      </w:pPr>
    </w:p>
    <w:p>
      <w:pPr>
        <w:ind w:left="1320" w:right="280" w:hanging="407"/>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320" w:right="140" w:hanging="407"/>
        <w:spacing w:after="0" w:line="264"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the SEC, of quarterly reports on Form 10-Q containing unaudited financial statements and other specified information, and current reports on Form 8-K upon the occurrence of specified significant events.</w:t>
      </w:r>
    </w:p>
    <w:p>
      <w:pPr>
        <w:spacing w:after="0" w:line="181" w:lineRule="exact"/>
        <w:rPr>
          <w:sz w:val="20"/>
          <w:szCs w:val="20"/>
          <w:color w:val="auto"/>
        </w:rPr>
      </w:pPr>
    </w:p>
    <w:p>
      <w:pPr>
        <w:ind w:left="380" w:right="80" w:firstLine="426"/>
        <w:spacing w:after="0" w:line="342" w:lineRule="auto"/>
        <w:rPr>
          <w:sz w:val="20"/>
          <w:szCs w:val="20"/>
          <w:color w:val="auto"/>
        </w:rPr>
      </w:pPr>
      <w:r>
        <w:rPr>
          <w:rFonts w:ascii="Arial" w:cs="Arial" w:eastAsia="Arial" w:hAnsi="Arial"/>
          <w:sz w:val="16"/>
          <w:szCs w:val="16"/>
          <w:color w:val="auto"/>
        </w:rPr>
        <w:t>Notwithstanding these exemptions, 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124" w:lineRule="exact"/>
        <w:rPr>
          <w:sz w:val="20"/>
          <w:szCs w:val="20"/>
          <w:color w:val="auto"/>
        </w:rPr>
      </w:pPr>
    </w:p>
    <w:p>
      <w:pPr>
        <w:ind w:left="380" w:right="420" w:firstLine="426"/>
        <w:spacing w:after="0" w:line="27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71" w:lineRule="exact"/>
        <w:rPr>
          <w:sz w:val="20"/>
          <w:szCs w:val="20"/>
          <w:color w:val="auto"/>
        </w:rPr>
      </w:pPr>
    </w:p>
    <w:p>
      <w:pPr>
        <w:jc w:val="both"/>
        <w:ind w:left="380" w:right="60" w:firstLine="426"/>
        <w:spacing w:after="0" w:line="312" w:lineRule="auto"/>
        <w:rPr>
          <w:sz w:val="20"/>
          <w:szCs w:val="20"/>
          <w:color w:val="auto"/>
        </w:rPr>
      </w:pPr>
      <w:r>
        <w:rPr>
          <w:rFonts w:ascii="Arial" w:cs="Arial" w:eastAsia="Arial" w:hAnsi="Arial"/>
          <w:sz w:val="16"/>
          <w:szCs w:val="16"/>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20"/>
          </w:cols>
          <w:pgMar w:left="240" w:top="459" w:right="63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580"/>
        <w:spacing w:after="0"/>
        <w:rPr>
          <w:sz w:val="20"/>
          <w:szCs w:val="20"/>
          <w:color w:val="auto"/>
        </w:rPr>
      </w:pPr>
      <w:r>
        <w:rPr>
          <w:rFonts w:ascii="Arial" w:cs="Arial" w:eastAsia="Arial" w:hAnsi="Arial"/>
          <w:sz w:val="16"/>
          <w:szCs w:val="16"/>
          <w:color w:val="auto"/>
        </w:rPr>
        <w:t>10,000,000 ADSs, each representing one ordinary share</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89" w:lineRule="exact"/>
        <w:rPr>
          <w:sz w:val="20"/>
          <w:szCs w:val="20"/>
          <w:color w:val="auto"/>
        </w:rPr>
      </w:pPr>
    </w:p>
    <w:p>
      <w:pPr>
        <w:ind w:left="460" w:hanging="78"/>
        <w:spacing w:after="0" w:line="277" w:lineRule="auto"/>
        <w:rPr>
          <w:sz w:val="20"/>
          <w:szCs w:val="20"/>
          <w:color w:val="auto"/>
        </w:rPr>
      </w:pPr>
      <w:r>
        <w:rPr>
          <w:rFonts w:ascii="Arial" w:cs="Arial" w:eastAsia="Arial" w:hAnsi="Arial"/>
          <w:sz w:val="18"/>
          <w:szCs w:val="18"/>
          <w:color w:val="auto"/>
        </w:rPr>
        <w:t>ADSs to be outstanding immediately following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10,000,000 ADSs</w:t>
      </w:r>
    </w:p>
    <w:p>
      <w:pPr>
        <w:spacing w:after="0" w:line="493" w:lineRule="exact"/>
        <w:rPr>
          <w:sz w:val="20"/>
          <w:szCs w:val="20"/>
          <w:color w:val="auto"/>
        </w:rPr>
      </w:pPr>
    </w:p>
    <w:p>
      <w:pPr>
        <w:sectPr>
          <w:pgSz w:w="11900" w:h="16838" w:orient="portrait"/>
          <w:cols w:equalWidth="0" w:num="2">
            <w:col w:w="4100" w:space="320"/>
            <w:col w:w="6600"/>
          </w:cols>
          <w:pgMar w:left="240" w:top="459" w:right="639" w:bottom="1440" w:gutter="0" w:footer="0" w:header="0"/>
          <w:type w:val="continuous"/>
        </w:sectPr>
      </w:pPr>
    </w:p>
    <w:p>
      <w:pPr>
        <w:spacing w:after="0" w:line="11" w:lineRule="exact"/>
        <w:rPr>
          <w:sz w:val="20"/>
          <w:szCs w:val="20"/>
          <w:color w:val="auto"/>
        </w:rPr>
      </w:pPr>
    </w:p>
    <w:p>
      <w:pPr>
        <w:ind w:left="460" w:right="4540" w:hanging="78"/>
        <w:spacing w:after="0" w:line="277" w:lineRule="auto"/>
        <w:rPr>
          <w:sz w:val="20"/>
          <w:szCs w:val="20"/>
          <w:color w:val="auto"/>
        </w:rPr>
      </w:pPr>
      <w:r>
        <w:rPr>
          <w:rFonts w:ascii="Arial" w:cs="Arial" w:eastAsia="Arial" w:hAnsi="Arial"/>
          <w:sz w:val="18"/>
          <w:szCs w:val="18"/>
          <w:color w:val="auto"/>
        </w:rPr>
        <w:t>Ordinary shares to be outstanding immediately after the 226,262,336 ordinary shares offering</w:t>
      </w:r>
    </w:p>
    <w:p>
      <w:pPr>
        <w:sectPr>
          <w:pgSz w:w="11900" w:h="16838" w:orient="portrait"/>
          <w:cols w:equalWidth="0" w:num="1">
            <w:col w:w="11020"/>
          </w:cols>
          <w:pgMar w:left="240" w:top="459" w:right="639" w:bottom="1440" w:gutter="0" w:footer="0" w:header="0"/>
          <w:type w:val="continuous"/>
        </w:sectPr>
      </w:pPr>
    </w:p>
    <w:p>
      <w:pPr>
        <w:spacing w:after="0" w:line="2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Option to purchase additional ADSs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have granted to the underwriters an option, exercisable for a period of 30 days after the date of this prospectus, to purchase an aggregate of up to an additional 1,500,000 ADSs.</w:t>
      </w:r>
    </w:p>
    <w:p>
      <w:pPr>
        <w:spacing w:after="0" w:line="151"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American Depositary Shares</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The underwriters will deliver our ordinary shares in the form of American Depositary Shares, or ADSs. Each ADS, which may be evidenced by an American Depositary Receipt, or ADR, represents one of our ordinary shares, no par value per share.</w:t>
      </w:r>
    </w:p>
    <w:p>
      <w:pPr>
        <w:spacing w:after="0" w:line="193"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ind w:left="4420"/>
        <w:spacing w:after="0" w:line="271" w:lineRule="auto"/>
        <w:rPr>
          <w:sz w:val="20"/>
          <w:szCs w:val="20"/>
          <w:color w:val="auto"/>
        </w:rPr>
      </w:pPr>
      <w:r>
        <w:rPr>
          <w:rFonts w:ascii="Arial" w:cs="Arial" w:eastAsia="Arial" w:hAnsi="Arial"/>
          <w:sz w:val="17"/>
          <w:szCs w:val="17"/>
          <w:color w:val="auto"/>
        </w:rPr>
        <w:t>As an ADS holder, you will not be treated as one of our shareholders and you will not have shareholder rights. The depositary, The Bank of New York Mellon, will be the holder of the ordinary shares underlying the ADSs. You will have the rights of an ADS holder or beneficial owner (as applicable) as provided in the deposit agreement among us, the depositary and holders and beneficial owners of ADSs from time to time. To better understand the terms of the ADSs, see “Description of American Depositary Shares.” We also encourage you to read the deposit agreement, the form of which is filed as an exhibit to the registration statement of which this prospectus forms a part.</w:t>
      </w:r>
    </w:p>
    <w:p>
      <w:pPr>
        <w:sectPr>
          <w:pgSz w:w="11900" w:h="16838" w:orient="portrait"/>
          <w:cols w:equalWidth="0" w:num="1">
            <w:col w:w="11020"/>
          </w:cols>
          <w:pgMar w:left="240" w:top="459" w:right="639" w:bottom="1440" w:gutter="0" w:footer="0" w:header="0"/>
          <w:type w:val="continuous"/>
        </w:sect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The Bank of New York Mellon</w:t>
      </w:r>
    </w:p>
    <w:p>
      <w:pPr>
        <w:spacing w:after="0" w:line="200"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spacing w:after="0" w:line="7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net proceeds to us from this offering will be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$137.1 million (€123.8 million) (or approximately $158.3 million (€143.0 million) if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underwriters exercise in full their option to purchase an additional 1,500,000 ADSs), based</w:t>
      </w:r>
    </w:p>
    <w:p>
      <w:pPr>
        <w:spacing w:after="0" w:line="32" w:lineRule="exact"/>
        <w:rPr>
          <w:sz w:val="20"/>
          <w:szCs w:val="20"/>
          <w:color w:val="auto"/>
        </w:rPr>
      </w:pPr>
    </w:p>
    <w:p>
      <w:pPr>
        <w:sectPr>
          <w:pgSz w:w="11900" w:h="16838" w:orient="portrait"/>
          <w:cols w:equalWidth="0" w:num="2">
            <w:col w:w="3700" w:space="720"/>
            <w:col w:w="6600"/>
          </w:cols>
          <w:pgMar w:left="240" w:top="459" w:right="639" w:bottom="1440" w:gutter="0" w:footer="0" w:header="0"/>
          <w:type w:val="continuous"/>
        </w:sectPr>
      </w:pPr>
    </w:p>
    <w:p>
      <w:pPr>
        <w:jc w:val="both"/>
        <w:ind w:left="4420" w:right="220"/>
        <w:spacing w:after="0" w:line="255" w:lineRule="auto"/>
        <w:rPr>
          <w:sz w:val="20"/>
          <w:szCs w:val="20"/>
          <w:color w:val="auto"/>
        </w:rPr>
      </w:pPr>
      <w:r>
        <w:rPr>
          <w:rFonts w:ascii="Arial" w:cs="Arial" w:eastAsia="Arial" w:hAnsi="Arial"/>
          <w:sz w:val="18"/>
          <w:szCs w:val="18"/>
          <w:color w:val="auto"/>
        </w:rPr>
        <w:t>on the initial public offering price of $15.00 per ADS, and after deducting underwriting discounts and commissions and estimated offering expenses payable by us. We intend to use the net proceeds from this offering as follows:</w:t>
      </w:r>
    </w:p>
    <w:p>
      <w:pPr>
        <w:spacing w:after="0" w:line="96" w:lineRule="exact"/>
        <w:rPr>
          <w:sz w:val="20"/>
          <w:szCs w:val="20"/>
          <w:color w:val="auto"/>
        </w:rPr>
      </w:pPr>
    </w:p>
    <w:p>
      <w:pPr>
        <w:ind w:left="4620" w:hanging="156"/>
        <w:spacing w:after="0" w:line="255" w:lineRule="auto"/>
        <w:rPr>
          <w:sz w:val="20"/>
          <w:szCs w:val="20"/>
          <w:color w:val="auto"/>
        </w:rPr>
      </w:pPr>
      <w:r>
        <w:rPr>
          <w:rFonts w:ascii="Arial" w:cs="Arial" w:eastAsia="Arial" w:hAnsi="Arial"/>
          <w:sz w:val="18"/>
          <w:szCs w:val="18"/>
          <w:color w:val="auto"/>
        </w:rPr>
        <w:t>• approximately $100 million to complete our ongoing and currently planned clinical trials for our FixVac product candidates BNT111, BNT113 and BNT114, as well as to fund our portion of the research and development expenses for each of the following: RO7198457 (BNT122), which is being developed in collaboration with Genentech, SAR441000 (BNT131), which is being developed in collaboration with Sanofi, and GEN1046 (BNT311) and GEN1042 (BNT312), which are being developed in collaboration with Genmab;</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6420" w:type="dxa"/>
            <w:vAlign w:val="bottom"/>
          </w:tcPr>
          <w:p>
            <w:pPr>
              <w:ind w:left="60"/>
              <w:spacing w:after="0"/>
              <w:rPr>
                <w:sz w:val="20"/>
                <w:szCs w:val="20"/>
                <w:color w:val="auto"/>
              </w:rPr>
            </w:pPr>
            <w:r>
              <w:rPr>
                <w:rFonts w:ascii="Arial" w:cs="Arial" w:eastAsia="Arial" w:hAnsi="Arial"/>
                <w:sz w:val="18"/>
                <w:szCs w:val="18"/>
                <w:color w:val="auto"/>
                <w:w w:val="94"/>
              </w:rPr>
              <w:t>approximately $30 million to advance additional product candidates through Phase 1</w:t>
            </w:r>
          </w:p>
        </w:tc>
      </w:tr>
      <w:tr>
        <w:trPr>
          <w:trHeight w:val="216"/>
        </w:trPr>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w w:val="92"/>
              </w:rPr>
              <w:t>clinical trials, including product candidates from CAR T, RiboMabs, RiboCytokines and</w:t>
            </w:r>
          </w:p>
        </w:tc>
      </w:tr>
      <w:tr>
        <w:trPr>
          <w:trHeight w:val="216"/>
        </w:trPr>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w w:val="90"/>
              </w:rPr>
              <w:t>TCR platforms in oncology, and our infectious disease immunotherapy and rare disease</w:t>
            </w:r>
          </w:p>
        </w:tc>
      </w:tr>
      <w:tr>
        <w:trPr>
          <w:trHeight w:val="230"/>
        </w:trPr>
        <w:tc>
          <w:tcPr>
            <w:tcW w:w="3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protein replacement therapy platforms outside oncology;</w:t>
            </w:r>
          </w:p>
        </w:tc>
      </w:tr>
      <w:tr>
        <w:trPr>
          <w:trHeight w:val="323"/>
        </w:trPr>
        <w:tc>
          <w:tcPr>
            <w:tcW w:w="3380" w:type="dxa"/>
            <w:vAlign w:val="bottom"/>
          </w:tcPr>
          <w:p>
            <w:pPr>
              <w:spacing w:after="0"/>
              <w:rPr>
                <w:sz w:val="24"/>
                <w:szCs w:val="24"/>
                <w:color w:val="auto"/>
              </w:rPr>
            </w:pP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6420" w:type="dxa"/>
            <w:vAlign w:val="bottom"/>
          </w:tcPr>
          <w:p>
            <w:pPr>
              <w:ind w:left="60"/>
              <w:spacing w:after="0"/>
              <w:rPr>
                <w:sz w:val="20"/>
                <w:szCs w:val="20"/>
                <w:color w:val="auto"/>
              </w:rPr>
            </w:pPr>
            <w:r>
              <w:rPr>
                <w:rFonts w:ascii="Arial" w:cs="Arial" w:eastAsia="Arial" w:hAnsi="Arial"/>
                <w:sz w:val="18"/>
                <w:szCs w:val="18"/>
                <w:color w:val="auto"/>
                <w:w w:val="92"/>
              </w:rPr>
              <w:t>approximately $4 million to advance additional preclinical product candidates, develop</w:t>
            </w:r>
          </w:p>
        </w:tc>
      </w:tr>
      <w:tr>
        <w:trPr>
          <w:trHeight w:val="216"/>
        </w:trPr>
        <w:tc>
          <w:tcPr>
            <w:tcW w:w="3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w w:val="91"/>
              </w:rPr>
              <w:t>additional product candidates leveraging our current therapeutic platforms and fund the</w:t>
            </w:r>
          </w:p>
        </w:tc>
      </w:tr>
      <w:tr>
        <w:trPr>
          <w:trHeight w:val="230"/>
        </w:trPr>
        <w:tc>
          <w:tcPr>
            <w:tcW w:w="3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further development of our core technologies; and</w:t>
            </w:r>
          </w:p>
        </w:tc>
      </w:tr>
      <w:tr>
        <w:trPr>
          <w:trHeight w:val="323"/>
        </w:trPr>
        <w:tc>
          <w:tcPr>
            <w:tcW w:w="3380" w:type="dxa"/>
            <w:vAlign w:val="bottom"/>
          </w:tcPr>
          <w:p>
            <w:pPr>
              <w:spacing w:after="0"/>
              <w:rPr>
                <w:sz w:val="24"/>
                <w:szCs w:val="24"/>
                <w:color w:val="auto"/>
              </w:rPr>
            </w:pP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6420" w:type="dxa"/>
            <w:vAlign w:val="bottom"/>
          </w:tcPr>
          <w:p>
            <w:pPr>
              <w:ind w:left="60"/>
              <w:spacing w:after="0"/>
              <w:rPr>
                <w:sz w:val="20"/>
                <w:szCs w:val="20"/>
                <w:color w:val="auto"/>
              </w:rPr>
            </w:pPr>
            <w:r>
              <w:rPr>
                <w:rFonts w:ascii="Arial" w:cs="Arial" w:eastAsia="Arial" w:hAnsi="Arial"/>
                <w:sz w:val="18"/>
                <w:szCs w:val="18"/>
                <w:color w:val="auto"/>
              </w:rPr>
              <w:t>approximately $3 million to fund the further expansion of our manufacturing and</w:t>
            </w:r>
          </w:p>
        </w:tc>
      </w:tr>
      <w:tr>
        <w:trPr>
          <w:trHeight w:val="230"/>
        </w:trPr>
        <w:tc>
          <w:tcPr>
            <w:tcW w:w="3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20" w:type="dxa"/>
            <w:vAlign w:val="bottom"/>
          </w:tcPr>
          <w:p>
            <w:pPr>
              <w:ind w:left="60"/>
              <w:spacing w:after="0"/>
              <w:rPr>
                <w:sz w:val="20"/>
                <w:szCs w:val="20"/>
                <w:color w:val="auto"/>
              </w:rPr>
            </w:pPr>
            <w:r>
              <w:rPr>
                <w:rFonts w:ascii="Arial" w:cs="Arial" w:eastAsia="Arial" w:hAnsi="Arial"/>
                <w:sz w:val="18"/>
                <w:szCs w:val="18"/>
                <w:color w:val="auto"/>
              </w:rPr>
              <w:t>laboratory capacity and the continued development of our infrastructure.</w:t>
            </w:r>
          </w:p>
        </w:tc>
      </w:tr>
      <w:tr>
        <w:trPr>
          <w:trHeight w:val="445"/>
        </w:trPr>
        <w:tc>
          <w:tcPr>
            <w:tcW w:w="3380" w:type="dxa"/>
            <w:vAlign w:val="bottom"/>
          </w:tcPr>
          <w:p>
            <w:pPr>
              <w:spacing w:after="0"/>
              <w:rPr>
                <w:sz w:val="24"/>
                <w:szCs w:val="24"/>
                <w:color w:val="auto"/>
              </w:rPr>
            </w:pP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w w:val="96"/>
              </w:rPr>
              <w:t>We expect to use the remainder of any net proceeds from this offering, as well as our</w:t>
            </w:r>
          </w:p>
        </w:tc>
      </w:tr>
      <w:tr>
        <w:trPr>
          <w:trHeight w:val="216"/>
        </w:trPr>
        <w:tc>
          <w:tcPr>
            <w:tcW w:w="3380" w:type="dxa"/>
            <w:vAlign w:val="bottom"/>
          </w:tcPr>
          <w:p>
            <w:pPr>
              <w:spacing w:after="0"/>
              <w:rPr>
                <w:sz w:val="18"/>
                <w:szCs w:val="18"/>
                <w:color w:val="auto"/>
              </w:rPr>
            </w:pP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w w:val="93"/>
              </w:rPr>
              <w:t>existing cash and cash equivalents, for general corporate purposes. We may also use a</w:t>
            </w:r>
          </w:p>
        </w:tc>
      </w:tr>
      <w:tr>
        <w:trPr>
          <w:trHeight w:val="216"/>
        </w:trPr>
        <w:tc>
          <w:tcPr>
            <w:tcW w:w="3380" w:type="dxa"/>
            <w:vAlign w:val="bottom"/>
          </w:tcPr>
          <w:p>
            <w:pPr>
              <w:spacing w:after="0"/>
              <w:rPr>
                <w:sz w:val="18"/>
                <w:szCs w:val="18"/>
                <w:color w:val="auto"/>
              </w:rPr>
            </w:pP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rPr>
              <w:t>portion of the net proceeds to in-license or acquire or invest in complementary</w:t>
            </w:r>
          </w:p>
        </w:tc>
      </w:tr>
      <w:tr>
        <w:trPr>
          <w:trHeight w:val="216"/>
        </w:trPr>
        <w:tc>
          <w:tcPr>
            <w:tcW w:w="3380" w:type="dxa"/>
            <w:vAlign w:val="bottom"/>
          </w:tcPr>
          <w:p>
            <w:pPr>
              <w:spacing w:after="0"/>
              <w:rPr>
                <w:sz w:val="18"/>
                <w:szCs w:val="18"/>
                <w:color w:val="auto"/>
              </w:rPr>
            </w:pP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w w:val="92"/>
              </w:rPr>
              <w:t>technologies, products, businesses or assets, either alone or together with a collaborator.</w:t>
            </w:r>
          </w:p>
        </w:tc>
      </w:tr>
      <w:tr>
        <w:trPr>
          <w:trHeight w:val="230"/>
        </w:trPr>
        <w:tc>
          <w:tcPr>
            <w:tcW w:w="3380" w:type="dxa"/>
            <w:vAlign w:val="bottom"/>
          </w:tcPr>
          <w:p>
            <w:pPr>
              <w:spacing w:after="0"/>
              <w:rPr>
                <w:sz w:val="20"/>
                <w:szCs w:val="20"/>
                <w:color w:val="auto"/>
              </w:rPr>
            </w:pP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rPr>
              <w:t>However, we have no current plans, commitments or obligations to do so.</w:t>
            </w:r>
          </w:p>
        </w:tc>
      </w:tr>
      <w:tr>
        <w:trPr>
          <w:trHeight w:val="445"/>
        </w:trPr>
        <w:tc>
          <w:tcPr>
            <w:tcW w:w="3380" w:type="dxa"/>
            <w:vAlign w:val="bottom"/>
          </w:tcPr>
          <w:p>
            <w:pPr>
              <w:spacing w:after="0"/>
              <w:rPr>
                <w:sz w:val="24"/>
                <w:szCs w:val="24"/>
                <w:color w:val="auto"/>
              </w:rPr>
            </w:pP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w w:val="93"/>
              </w:rPr>
              <w:t>See “Use of Proceeds” for a more complete description of the intended use of proceeds</w:t>
            </w:r>
          </w:p>
        </w:tc>
      </w:tr>
      <w:tr>
        <w:trPr>
          <w:trHeight w:val="230"/>
        </w:trPr>
        <w:tc>
          <w:tcPr>
            <w:tcW w:w="3380" w:type="dxa"/>
            <w:vAlign w:val="bottom"/>
          </w:tcPr>
          <w:p>
            <w:pPr>
              <w:spacing w:after="0"/>
              <w:rPr>
                <w:sz w:val="20"/>
                <w:szCs w:val="20"/>
                <w:color w:val="auto"/>
              </w:rPr>
            </w:pP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rPr>
              <w:t>from this offering.</w:t>
            </w: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rPr>
              <w:t>Risk factors</w:t>
            </w: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w w:val="97"/>
              </w:rPr>
              <w:t>See “Risk Factors” beginning on page 15 and the other information contained in this</w:t>
            </w:r>
          </w:p>
        </w:tc>
      </w:tr>
      <w:tr>
        <w:trPr>
          <w:trHeight w:val="216"/>
        </w:trPr>
        <w:tc>
          <w:tcPr>
            <w:tcW w:w="3380" w:type="dxa"/>
            <w:vAlign w:val="bottom"/>
          </w:tcPr>
          <w:p>
            <w:pPr>
              <w:spacing w:after="0"/>
              <w:rPr>
                <w:sz w:val="18"/>
                <w:szCs w:val="18"/>
                <w:color w:val="auto"/>
              </w:rPr>
            </w:pP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w w:val="91"/>
              </w:rPr>
              <w:t>prospectus for a discussion of factors you should consider before deciding to invest in the</w:t>
            </w:r>
          </w:p>
        </w:tc>
      </w:tr>
      <w:tr>
        <w:trPr>
          <w:trHeight w:val="230"/>
        </w:trPr>
        <w:tc>
          <w:tcPr>
            <w:tcW w:w="3380" w:type="dxa"/>
            <w:vAlign w:val="bottom"/>
          </w:tcPr>
          <w:p>
            <w:pPr>
              <w:spacing w:after="0"/>
              <w:rPr>
                <w:sz w:val="20"/>
                <w:szCs w:val="20"/>
                <w:color w:val="auto"/>
              </w:rPr>
            </w:pP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rPr>
              <w:t>ADSs.</w:t>
            </w:r>
          </w:p>
        </w:tc>
      </w:tr>
      <w:tr>
        <w:trPr>
          <w:trHeight w:val="459"/>
        </w:trPr>
        <w:tc>
          <w:tcPr>
            <w:tcW w:w="338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7220" w:type="dxa"/>
            <w:vAlign w:val="bottom"/>
            <w:gridSpan w:val="2"/>
          </w:tcPr>
          <w:p>
            <w:pPr>
              <w:ind w:left="660"/>
              <w:spacing w:after="0"/>
              <w:rPr>
                <w:sz w:val="20"/>
                <w:szCs w:val="20"/>
                <w:color w:val="auto"/>
              </w:rPr>
            </w:pPr>
            <w:r>
              <w:rPr>
                <w:rFonts w:ascii="Arial" w:cs="Arial" w:eastAsia="Arial" w:hAnsi="Arial"/>
                <w:sz w:val="18"/>
                <w:szCs w:val="18"/>
                <w:color w:val="auto"/>
                <w:w w:val="98"/>
              </w:rPr>
              <w:t>Our ADSs are listed on the Nasdaq Global Select Market under the symbol “BNTX.”</w:t>
            </w:r>
          </w:p>
        </w:tc>
      </w:tr>
    </w:tbl>
    <w:p>
      <w:pPr>
        <w:spacing w:after="0" w:line="215" w:lineRule="exact"/>
        <w:rPr>
          <w:sz w:val="20"/>
          <w:szCs w:val="20"/>
          <w:color w:val="auto"/>
        </w:rPr>
      </w:pPr>
    </w:p>
    <w:p>
      <w:pPr>
        <w:ind w:left="380" w:right="160" w:firstLine="426"/>
        <w:spacing w:after="0" w:line="308" w:lineRule="auto"/>
        <w:rPr>
          <w:sz w:val="20"/>
          <w:szCs w:val="20"/>
          <w:color w:val="auto"/>
        </w:rPr>
      </w:pPr>
      <w:r>
        <w:rPr>
          <w:rFonts w:ascii="Arial" w:cs="Arial" w:eastAsia="Arial" w:hAnsi="Arial"/>
          <w:sz w:val="17"/>
          <w:szCs w:val="17"/>
          <w:color w:val="auto"/>
        </w:rPr>
        <w:t>Unless otherwise indicated, the number of our ordinary shares to be outstanding after this offering is based on 212,748,588 ordinary shares outstanding as of June 30, 2019 and additionally includes the following amounts which were issued after June 30, 2019:</w:t>
      </w:r>
    </w:p>
    <w:p>
      <w:pPr>
        <w:spacing w:after="0" w:line="52" w:lineRule="exact"/>
        <w:rPr>
          <w:sz w:val="20"/>
          <w:szCs w:val="20"/>
          <w:color w:val="auto"/>
        </w:rPr>
      </w:pPr>
    </w:p>
    <w:p>
      <w:pPr>
        <w:ind w:left="1320" w:hanging="407"/>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475,074 ordinary shares issued in connection with our Series B private placement; and</w:t>
      </w:r>
    </w:p>
    <w:p>
      <w:pPr>
        <w:spacing w:after="0" w:line="130" w:lineRule="exact"/>
        <w:rPr>
          <w:rFonts w:ascii="Arial" w:cs="Arial" w:eastAsia="Arial" w:hAnsi="Arial"/>
          <w:sz w:val="18"/>
          <w:szCs w:val="18"/>
          <w:color w:val="auto"/>
        </w:rPr>
      </w:pPr>
    </w:p>
    <w:p>
      <w:pPr>
        <w:ind w:left="1320" w:right="360" w:hanging="407"/>
        <w:spacing w:after="0" w:line="277"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3,038,674 ordinary shares issued prior to the completion of this offering pursuant to an investment by the Bill and Melinda Gates Foundation.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and excludes:</w:t>
      </w:r>
    </w:p>
    <w:p>
      <w:pPr>
        <w:spacing w:after="0" w:line="131" w:lineRule="exact"/>
        <w:rPr>
          <w:sz w:val="20"/>
          <w:szCs w:val="20"/>
          <w:color w:val="auto"/>
        </w:rPr>
      </w:pPr>
    </w:p>
    <w:p>
      <w:pPr>
        <w:ind w:left="1320" w:hanging="407"/>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11,882,124 ordinary shares issuable upon the exercise of options outstanding as of June 30, 2019;</w:t>
      </w:r>
    </w:p>
    <w:p>
      <w:pPr>
        <w:spacing w:after="0" w:line="130" w:lineRule="exact"/>
        <w:rPr>
          <w:rFonts w:ascii="Arial" w:cs="Arial" w:eastAsia="Arial" w:hAnsi="Arial"/>
          <w:sz w:val="18"/>
          <w:szCs w:val="18"/>
          <w:color w:val="auto"/>
        </w:rPr>
      </w:pPr>
    </w:p>
    <w:p>
      <w:pPr>
        <w:ind w:left="1320" w:right="240" w:hanging="407"/>
        <w:spacing w:after="0" w:line="277"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9,992,682 ordinary shares available for future issuance under our Employee Stock Ownership Plan or any future share option plan; and</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5,524,506 ordinary shares held in treasury.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240" w:top="459"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204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1204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all information contained in this prospectus:</w:t>
      </w:r>
    </w:p>
    <w:p>
      <w:pPr>
        <w:spacing w:after="0" w:line="131" w:lineRule="exact"/>
        <w:rPr>
          <w:sz w:val="20"/>
          <w:szCs w:val="20"/>
          <w:color w:val="auto"/>
        </w:rPr>
      </w:pPr>
    </w:p>
    <w:p>
      <w:pPr>
        <w:ind w:left="1320" w:hanging="407"/>
        <w:spacing w:after="0" w:line="277"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an 18-for-1 stock split of our ordinary shares, which became effective on September 18, 2019, upon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no exercise of the outstanding options described above; and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assumes no exercise of the option granted to the underwriters to purchase up to 1,500,000 additional ADSs in this offering.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240" w:top="459" w:right="10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27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427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The following tables set forth a summary of our historical consolidated financial data as of and for the years ended December 31, 2018 and 2017, and as of June 30, 2019 and for the six months ended June 30, 2019 and 2018. We derived the summary of our results for the years ended December 31, 2018 and 2017 from our audited consolidated financial statements included elsewhere in this prospectus. The summary consolidated financial data as of June 30, 2019 and for the six months ended June 30, 2019 and 2018 have been derived from our unaudited interim condensed consolidated financial statements included elsewhere in this prospectus and have been prepared on the same basis as the audited financial statements. In the opinion of management, the unaudited interim data reflects all adjustments necessary for a fair presentation of the financial information in those statements. We present our consolidated financial statements in Euros and in accordance with IFRS as issued by the IASB.</w:t>
      </w:r>
    </w:p>
    <w:p>
      <w:pPr>
        <w:spacing w:after="0" w:line="167" w:lineRule="exact"/>
        <w:rPr>
          <w:sz w:val="20"/>
          <w:szCs w:val="20"/>
          <w:color w:val="auto"/>
        </w:rPr>
      </w:pPr>
    </w:p>
    <w:p>
      <w:pPr>
        <w:ind w:left="380" w:right="20" w:firstLine="426"/>
        <w:spacing w:after="0" w:line="297" w:lineRule="auto"/>
        <w:rPr>
          <w:sz w:val="20"/>
          <w:szCs w:val="20"/>
          <w:color w:val="auto"/>
        </w:rPr>
      </w:pPr>
      <w:r>
        <w:rPr>
          <w:rFonts w:ascii="Arial" w:cs="Arial" w:eastAsia="Arial" w:hAnsi="Arial"/>
          <w:sz w:val="16"/>
          <w:szCs w:val="16"/>
          <w:color w:val="auto"/>
        </w:rPr>
        <w:t>The summary consolidated financial data below should be read together with our consolidated financial statements and related notes, and our unaudited interim condensed consolidated financial statements included elsewhere in this prospectus, as well as the sections of this prospectus titled “Selected Consolidated Financial Data” and “Management’s Discussion and Analysis of Financial Condition and Results of Operations.” Our historical results for any prior period are not necessarily indicative of results to be expected in any future period, and the results for the six months ended June 30, 2019 are not necessarily indicative of the results to be expected for the full year ended December 31, 2019.</w:t>
      </w:r>
    </w:p>
    <w:p>
      <w:pPr>
        <w:spacing w:after="0" w:line="16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0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3"/>
              </w:rPr>
              <w:t>For the Six Months Ended</w:t>
            </w:r>
          </w:p>
        </w:tc>
        <w:tc>
          <w:tcPr>
            <w:tcW w:w="10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left="392"/>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51,939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43,398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w w:val="98"/>
              </w:rPr>
              <w:t>127,575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61,598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(8,694)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(13,690)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113,885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0"/>
              </w:rPr>
              <w:t>(110,643)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(58,454)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0"/>
              </w:rPr>
              <w:t>(143,040)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(85,496)</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(23,899)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(26,334)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(23,520)</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(91,702)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(29,831)</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(53,854)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(61,277)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8,046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Finance expense</w:t>
            </w: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(26,007)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related to lease liability</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rPr>
                <w:sz w:val="20"/>
                <w:szCs w:val="20"/>
                <w:color w:val="auto"/>
              </w:rPr>
            </w:pPr>
            <w:r>
              <w:rPr>
                <w:rFonts w:ascii="Arial" w:cs="Arial" w:eastAsia="Arial" w:hAnsi="Arial"/>
                <w:sz w:val="18"/>
                <w:szCs w:val="18"/>
                <w:color w:val="auto"/>
              </w:rPr>
              <w:t>Share of loss of equity method investees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tax</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(90,827)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(23,300)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(47,662)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(85,905)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for the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(90,846)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(23,310)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(48,262)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(85,950)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Loss attributable to equity holders of the parent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(90,730</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(23,235</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(48,019</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(85,653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non-controlling interests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Basic and diluted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(0.45</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right="40" w:firstLine="426"/>
        <w:spacing w:after="0" w:line="312" w:lineRule="auto"/>
        <w:rPr>
          <w:sz w:val="20"/>
          <w:szCs w:val="20"/>
          <w:color w:val="auto"/>
        </w:rPr>
      </w:pPr>
      <w:r>
        <w:rPr>
          <w:rFonts w:ascii="Arial" w:cs="Arial" w:eastAsia="Arial" w:hAnsi="Arial"/>
          <w:sz w:val="16"/>
          <w:szCs w:val="16"/>
          <w:color w:val="auto"/>
        </w:rPr>
        <w:t>The following table presents our summary consolidated statement of financial position as of June 30, 2019 (i) on an actual basis, (ii) on a pro forma basis to give effect to (x) the receipt of proceeds of €190.2 million</w:t>
      </w:r>
      <w:r>
        <w:rPr>
          <w:rFonts w:ascii="Arial" w:cs="Arial" w:eastAsia="Arial" w:hAnsi="Arial"/>
          <w:sz w:val="13"/>
          <w:szCs w:val="13"/>
          <w:color w:val="auto"/>
        </w:rPr>
        <w:t>(1)</w:t>
      </w:r>
      <w:r>
        <w:rPr>
          <w:rFonts w:ascii="Arial" w:cs="Arial" w:eastAsia="Arial" w:hAnsi="Arial"/>
          <w:sz w:val="16"/>
          <w:szCs w:val="16"/>
          <w:color w:val="auto"/>
        </w:rPr>
        <w:t xml:space="preserve"> relating to 11,990,214 ordinary shares issued before June 30, 2019 in connection with our Series B private placement, (y) the issuance of 475,074 of our ordinary shares for proceeds of €7.7 million ($8.6 million)</w:t>
      </w:r>
      <w:r>
        <w:rPr>
          <w:rFonts w:ascii="Arial" w:cs="Arial" w:eastAsia="Arial" w:hAnsi="Arial"/>
          <w:sz w:val="13"/>
          <w:szCs w:val="13"/>
          <w:color w:val="auto"/>
        </w:rPr>
        <w:t>(2)</w:t>
      </w:r>
      <w:r>
        <w:rPr>
          <w:rFonts w:ascii="Arial" w:cs="Arial" w:eastAsia="Arial" w:hAnsi="Arial"/>
          <w:sz w:val="16"/>
          <w:szCs w:val="16"/>
          <w:color w:val="auto"/>
        </w:rPr>
        <w:t xml:space="preserve"> in</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597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35972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79" w:lineRule="auto"/>
        <w:rPr>
          <w:sz w:val="20"/>
          <w:szCs w:val="20"/>
          <w:color w:val="auto"/>
        </w:rPr>
      </w:pPr>
      <w:r>
        <w:rPr>
          <w:rFonts w:ascii="Arial" w:cs="Arial" w:eastAsia="Arial" w:hAnsi="Arial"/>
          <w:sz w:val="17"/>
          <w:szCs w:val="17"/>
          <w:color w:val="auto"/>
        </w:rPr>
        <w:t>connection with our Series B private placement and (z) our receipt of proceeds of €49.9 million ($55.0 million) from the sale of 3,038,674 of our ordinary shares pursuant to an investment by the Bill &amp; Melinda Gates Foundation and (iii) on a pro forma as adjusted basis to give further effect to the sale of 10,000,000 ADSs representing 10,000,000 ordinary shares by us in the offering at the initial public offering price of $15.00 per ADS, and after deducting underwriting discounts and commissions and estimated offering expenses payable by us.</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June 30, 2019</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10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Actual</w:t>
            </w:r>
          </w:p>
        </w:tc>
        <w:tc>
          <w:tcPr>
            <w:tcW w:w="1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12"/>
                <w:szCs w:val="12"/>
                <w:b w:val="1"/>
                <w:bCs w:val="1"/>
                <w:color w:val="auto"/>
                <w:w w:val="96"/>
              </w:rPr>
              <w:t>(1)(3)</w:t>
            </w: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7060" w:type="dxa"/>
            <w:vAlign w:val="bottom"/>
            <w:vMerge w:val="continue"/>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313"/>
              <w:spacing w:after="0" w:line="142" w:lineRule="exact"/>
              <w:rPr>
                <w:sz w:val="20"/>
                <w:szCs w:val="20"/>
                <w:color w:val="auto"/>
              </w:rPr>
            </w:pPr>
            <w:r>
              <w:rPr>
                <w:rFonts w:ascii="Arial" w:cs="Arial" w:eastAsia="Arial" w:hAnsi="Arial"/>
                <w:sz w:val="14"/>
                <w:szCs w:val="14"/>
                <w:b w:val="1"/>
                <w:bCs w:val="1"/>
                <w:color w:val="auto"/>
                <w:w w:val="94"/>
              </w:rPr>
              <w:t>(unaudited)</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financial position:</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w w:val="93"/>
              </w:rPr>
              <w:t>€  284,890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532,687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€ 656,448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722,369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779,947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903,708</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337,879</w:t>
            </w:r>
          </w:p>
        </w:tc>
        <w:tc>
          <w:tcPr>
            <w:tcW w:w="380" w:type="dxa"/>
            <w:vAlign w:val="bottom"/>
          </w:tcPr>
          <w:p>
            <w:pPr>
              <w:spacing w:after="0"/>
              <w:rPr>
                <w:sz w:val="18"/>
                <w:szCs w:val="18"/>
                <w:color w:val="auto"/>
              </w:rPr>
            </w:pP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337,879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337,879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212,749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216,262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226,262</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Accumulated losses</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(336,501)</w:t>
            </w:r>
          </w:p>
        </w:tc>
        <w:tc>
          <w:tcPr>
            <w:tcW w:w="38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(336,501)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384,490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442,068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0" w:right="280" w:hanging="414"/>
        <w:spacing w:after="0" w:line="25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Proceeds of €190.2 million was a receivable recorded as an asset as of June 30, 2019, and therefore is reflected in the actual column under total assets, share capital and total equity. Accordingly, as the cash consideration was received after June 30, 2019, it therefore is only reflected as an increase in cash and cash equivalents in the pro forma column.</w:t>
      </w:r>
    </w:p>
    <w:p>
      <w:pPr>
        <w:ind w:left="800" w:right="60" w:hanging="414"/>
        <w:spacing w:after="0" w:line="25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proceeds were received in Euros. For the convenience of the reader, we have translated these amounts into U.S. dollars. The amount of proceeds from each tranche was calculated at the respective rate specified in the investment agreement.</w:t>
      </w:r>
    </w:p>
    <w:p>
      <w:pPr>
        <w:ind w:left="800" w:right="40" w:hanging="414"/>
        <w:spacing w:after="0" w:line="277"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 forma amounts do not reflect the issuance of 5,524,506 shares in our Series B private placement to a Hong Kong-based investor, all of which have been transferred to us due to the investor’s failure to pay for the shares, and are held in treasury. As a result, this investor does not hold any ordinary shares, and no arrangements exist for such investor to acquire any ordinary shares at this time.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240" w:top="459" w:right="6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b w:val="1"/>
          <w:bCs w:val="1"/>
          <w:i w:val="1"/>
          <w:iCs w:val="1"/>
          <w:color w:val="auto"/>
        </w:rPr>
        <w:t>We are a clinical-stage biopharmaceutical company with no pharmaceutical products approved for commercial sale. We have incurred significant losses since our inception and we anticipate that we will continue to incur significant losses for the foreseeable future, which makes it difficult to assess our future viability.</w:t>
      </w:r>
    </w:p>
    <w:p>
      <w:pPr>
        <w:spacing w:after="0" w:line="73"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have incurred net losses in each year since our inception in 2008, including net losses of €48.3 million and €86.0 million for the years ended December 31, 2018 and 2017, respectively, and €90.8 million for the six months ended June 30, 2019. As of June 30, 2019, we had accumulated losses of €336.5 million.</w:t>
      </w:r>
    </w:p>
    <w:p>
      <w:pPr>
        <w:spacing w:after="0" w:line="18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and the development of our platforms. To date, we have financed our operations primarily through the sale of equity securities and proceeds from collaborations and, to a lesser extent, through revenue from manufacturing operations and grants from governmental and private organizations. The amount of our future net losses will depend, in part, on the rate of our future expenditures and our ability to obtain funding through equity or debt financings, sales of assets, collaborations or grants. We have not commenced or completed pivotal clinical trials for our programs and it will be several years, if ever, before we or our collaborators have a product candidate ready for commercialization. Even if we obtain regulatory approval to market a product candidate, our future revenues will depend upon the size of any markets in which our product candidates have received approval, and our ability to achieve sufficient market acceptance, reimbursement from third-party payors, and adequate market share in those markets. We may never achieve profitability.</w:t>
      </w:r>
    </w:p>
    <w:p>
      <w:pPr>
        <w:spacing w:after="0" w:line="19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 and our collaborators:</w:t>
      </w:r>
    </w:p>
    <w:p>
      <w:pPr>
        <w:spacing w:after="0" w:line="76" w:lineRule="exact"/>
        <w:rPr>
          <w:sz w:val="20"/>
          <w:szCs w:val="20"/>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trials for our product candidates, including under our collaboration agreements;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1180" w:right="880" w:hanging="436"/>
        <w:spacing w:after="0" w:line="308"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33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If our operating results fall below expectations, the price of the ADSs could decline.</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financial condition and operating results have varied in the past and will continue to fluctuate from one financial period to the next due to a variety of factors, many of which are beyond our control. Factors relating to our business that may contribute to these fluctuations include the following, as well as other factors described elsewhere in this prospectus:</w:t>
      </w:r>
    </w:p>
    <w:p>
      <w:pPr>
        <w:spacing w:after="0" w:line="87"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failures in advancement of existing or future product candidates into the clinic or in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manufacture and commercialize our programs;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30" w:lineRule="exact"/>
        <w:rPr>
          <w:rFonts w:ascii="Arial" w:cs="Arial" w:eastAsia="Arial" w:hAnsi="Arial"/>
          <w:sz w:val="18"/>
          <w:szCs w:val="18"/>
          <w:color w:val="auto"/>
        </w:rPr>
      </w:pPr>
    </w:p>
    <w:p>
      <w:pPr>
        <w:ind w:left="1180" w:right="84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or approval processes conducted by us and our collaborators;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our collaborators to develop and successfully commercialize products developed from our suite of therapeutic classes;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relationships, and any associated exclusivity terms, with collaborators;</w:t>
      </w:r>
    </w:p>
    <w:p>
      <w:pPr>
        <w:spacing w:after="0" w:line="130"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or other obligations to provide resources to fund our product candidates, and to provide resources to our collaborators or to the collaborations themselves;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operation in a net loss position for the foreseeable future;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the international aspects of our business outside Germany, including the conduct of clinical trials in multiple locations and potential commercialization in such locations;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protect, maintain, defend and enforce our intellectual property rights;</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prevent the theft or infringement, misappropriation or other violation of our intellectual property, trade secrets, know-how or technologies;</w:t>
      </w:r>
    </w:p>
    <w:p>
      <w:pPr>
        <w:spacing w:after="0" w:line="75"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obtaining the rights to critical intellectual property or developing competing technologies or products;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collaborators’ ability to obtain additional capital that may be necessary to develop and commercialize products under our collaboration agreements;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such as power outages, strikes, acts of terrorism or natural disasters;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to offset future taxable income.</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of our periods should not be relied upon as indications of our future operating performance.</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net losses we incur may fluctuate significantly from one reporting period to the next, such that a period-to-period comparison of our results of operations may not be a good indication of our future performance.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overall valuation. The price of the ADSs may decline as a result of unexpected clinical trial results in one or more of our programs, including adverse safety events reported for any of our programs.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only generated limited revenue and may never be profitable.</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Our ability to generate revenue and achieve profitability depends on our ability, alone or with collaborators, to successfully complete the development of, and obtain the regulatory approvals necessary to commercialize, our product candidates. Although we generate limited revenue from sales of products by our external services business unit, we do not anticipate generating revenues from pharmaceutical product sales in the near term. Our ability to generate future revenues from pharmaceutical product sales depends heavily on our success in:</w:t>
      </w:r>
    </w:p>
    <w:p>
      <w:pPr>
        <w:spacing w:after="0" w:line="77"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seeking and obtaining U.S. and non-U.S. marketing approvals for product candidates for which we complete clinical trials;</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furthering the development of our own manufacturing capabilities and manufacturing relationships with third parties in order to provide adequate (in amount and quality) products and services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treatment option;</w:t>
      </w:r>
    </w:p>
    <w:p>
      <w:pPr>
        <w:spacing w:after="0" w:line="130" w:lineRule="exact"/>
        <w:rPr>
          <w:rFonts w:ascii="Arial" w:cs="Arial" w:eastAsia="Arial" w:hAnsi="Arial"/>
          <w:sz w:val="18"/>
          <w:szCs w:val="18"/>
          <w:color w:val="auto"/>
        </w:rPr>
      </w:pPr>
    </w:p>
    <w:p>
      <w:pPr>
        <w:ind w:left="1180" w:right="860" w:hanging="436"/>
        <w:spacing w:after="0" w:line="342"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and reimbursement, either through collaborations or, if launched independently, by establishing a sales force, marketing and distribution infrastructure;</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defending, protecting, enforcing and expanding our portfolio of intellectual property rights, including patents, trade secrets and know-how;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If one or more of the product candidates that we develop is approved for commercial sale, we anticipate incurring significant costs associated with commercializing any approved product candidate. Our expenses could increase beyond our expectations if we are required by the U.S. Food and Drug Administration, or the FDA, the European Medicines Agency, or the EMA, or other regulatory agencies to perform clinical and other trials or make changes to our manufacturing or quality systems in addition to those that we currently anticipate. Even if we are able to generate revenues from the sale of any approved products, we may not become profitable and may need to obtain additional funding to continue operations.</w:t>
      </w:r>
    </w:p>
    <w:p>
      <w:pPr>
        <w:spacing w:after="0" w:line="266"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The amount of and our ability to use net operating losses and research and development credits to offset future taxable income may be subject to certain limitations and uncertainty.</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Germany, we have unused tax loss carryforwards for corporate taxes, though we have not recognized deferred tax assets related to such loss carryforwards for IFRS reporting purposes. In general, net operating loss,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59" w:lineRule="auto"/>
        <w:rPr>
          <w:sz w:val="20"/>
          <w:szCs w:val="20"/>
          <w:color w:val="auto"/>
        </w:rPr>
      </w:pPr>
      <w:r>
        <w:rPr>
          <w:rFonts w:ascii="Arial" w:cs="Arial" w:eastAsia="Arial" w:hAnsi="Arial"/>
          <w:sz w:val="18"/>
          <w:szCs w:val="18"/>
          <w:color w:val="auto"/>
        </w:rPr>
        <w:t>or NOL, carryforwards in Germany do not expire. They are, however, subject to review and possible adjustment by the German tax authorities. Furthermore, under current German tax laws, certain substantial changes in the Company’s ownership and business may further limit the amount of NOL carryforwards that can be used annually to offset future taxable income. In addition, we may in the future have U.S. federal and state NOL carryforwards due to our subsidiary in the United States.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may not be able to utilize a material portion of our NOLs or credits in either Germany or the United States. In addition, the rules regarding the timing of revenue and expense recognition for tax purposes in connection with various transactions are complex and uncertain in many respects, and our recognition could be subject to challenge by taxing authorities. In the event any such challenge is sustained, our NOLs could be materially reduced or we could be determined to be a material cash taxpayer for one or more years. Furthermore, our ability to use our NOLs or credits is conditioned upon our attaining profitability and generating taxable income. As described above, we have incurred significant net losses since our inception and anticipate that we will continue to incur significant losses for the foreseeable future. We do not know whether or when we will generate the taxable income necessary to utilize our NOL or credit carryforwards.</w:t>
      </w:r>
    </w:p>
    <w:p>
      <w:pPr>
        <w:spacing w:after="0" w:line="286" w:lineRule="exact"/>
        <w:rPr>
          <w:sz w:val="20"/>
          <w:szCs w:val="20"/>
          <w:color w:val="auto"/>
        </w:rPr>
      </w:pPr>
    </w:p>
    <w:p>
      <w:pPr>
        <w:ind w:left="200" w:right="440"/>
        <w:spacing w:after="0" w:line="375" w:lineRule="auto"/>
        <w:rPr>
          <w:sz w:val="20"/>
          <w:szCs w:val="20"/>
          <w:color w:val="auto"/>
        </w:rPr>
      </w:pPr>
      <w:r>
        <w:rPr>
          <w:rFonts w:ascii="Arial" w:cs="Arial" w:eastAsia="Arial" w:hAnsi="Arial"/>
          <w:sz w:val="15"/>
          <w:szCs w:val="15"/>
          <w:b w:val="1"/>
          <w:bCs w:val="1"/>
          <w:i w:val="1"/>
          <w:iCs w:val="1"/>
          <w:color w:val="auto"/>
        </w:rPr>
        <w:t>Under German tax laws, we are obligated to withhold a percentage of royalty payments we make to third party licensors of intellectual property rights and remit those withholdings to German tax authorities, and late withholding tax payments may subject us to penalties and fees.</w:t>
      </w:r>
    </w:p>
    <w:p>
      <w:pPr>
        <w:spacing w:after="0" w:line="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German tax laws, we are obligated to withhold a percentage of royalty payments we make to third parties in consideration of the grant of rights under their intellectual property, and remit those withholdings to German tax authorities. As a result of an internal review, we have discovered that in the 11 year period before April 2019 we and certain of our subsidiaries did not withhold, report and remit certain withholding taxes in connection with the in-licensing of intellectual property as required to be withheld under German tax laws, and have not made the requisite recordings in our and their financial books and records in relation thereto. We have notified the tax authorities of the late payments. We may be subject to penalties and further fees as a result of late withholding tax payments.</w:t>
      </w:r>
    </w:p>
    <w:p>
      <w:pPr>
        <w:spacing w:after="0" w:line="193"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It is possible to seek the refund of these withholding taxes from the German Federal Central Tax office after filing exemption and refund applications, and we intend to do so. However there is a possibility that the relevant claims against the licensors and/or the authority, may in some instances, not be enforceable as a result of a licensor no longer existing, the lapse of time or any other facts preventing the enforcement of such claims.</w:t>
      </w:r>
    </w:p>
    <w:p>
      <w:pPr>
        <w:spacing w:after="0" w:line="255"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We will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38"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As of June 30, 2019, we had €284.9 million in cash and cash equivalents. We estimate that the net proceeds from this offering will be approximately $137.1 million after deducting underwriting discounts and commissions and estimated offering expenses payable by us. We expect that the net proceeds from this offering and our existing cash and cash equivalents will be sufficient to fund our operating expenses and capital expenditure requirements through at least the next 24 months. However, our operating plan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In any event, we will require additional capital to obtain regulatory approval for, and to commercialize, our product 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high uncertainty of the length of time and activities associated with discovery and development of our product candidates, we are unable to estimate the actual funds we will require for development, marketing and commercialization activities.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funding requirements, both near and long term, will depend on many factors, including, but not limited to:</w:t>
      </w:r>
    </w:p>
    <w:p>
      <w:pPr>
        <w:spacing w:after="0" w:line="131"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or nonclinical studies and clinical trials for our product candidates;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EMA and other comparable regulatory authorities;</w:t>
      </w:r>
    </w:p>
    <w:p>
      <w:pPr>
        <w:spacing w:after="0" w:line="75" w:lineRule="exact"/>
        <w:rPr>
          <w:rFonts w:ascii="Arial" w:cs="Arial" w:eastAsia="Arial" w:hAnsi="Arial"/>
          <w:sz w:val="18"/>
          <w:szCs w:val="18"/>
          <w:color w:val="auto"/>
        </w:rPr>
      </w:pPr>
    </w:p>
    <w:p>
      <w:pPr>
        <w:ind w:left="1180" w:hanging="436"/>
        <w:spacing w:after="0" w:line="312"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52" w:lineRule="exact"/>
        <w:rPr>
          <w:rFonts w:ascii="Arial" w:cs="Arial" w:eastAsia="Arial" w:hAnsi="Arial"/>
          <w:sz w:val="16"/>
          <w:szCs w:val="16"/>
          <w:color w:val="auto"/>
        </w:rPr>
      </w:pPr>
    </w:p>
    <w:p>
      <w:pPr>
        <w:ind w:left="1180" w:right="4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 and</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17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To date, we have financed our operations primarily through the sale of equity securities and revenue from collaborations and we cannot be certain that additional funding will be available on favorable terms, or at all. Until we can generate sufficient product sales or royalty revenue to finance our operations, which we may never do, we expect to finance our future cash needs through a combination of public or private equity offerings, debt financings, collaborations, sales of assets,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For example, we had agreed to issue 5,524,506 shares for proceeds of €89.3 million to a Hong Kong-based investor in connection with our Series B private placement. This investor was not able to fund the purchase of the shares and the shares were transferred to us for no consideration.</w:t>
      </w:r>
    </w:p>
    <w:p>
      <w:pPr>
        <w:spacing w:after="0" w:line="166"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our shares to decline. If we raise additional funds through public or private equity offerings, the terms of these securities may include liquidation or other preferences that may adversely affect our shareholders’ rights.</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Further, to the extent that we raise additional capital through the sale of ADSs, ordinary shares or securities convertible or exchangeable into ordinary shares, your ownership interest will be diluted. We have entered into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two secured credit facilities with an aggregate drawing capacity of €20 million. In addition, we may enter into additional credit facilities from time to time, which may be secured, to fund certain of our operations.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or other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288"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62"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As of July 31, 2019, we had more than 1,100 full-time employees and, in connection with the growth and advancement of our pipeline and becoming a public company, we expect to increase the number of employees and the scope of our operations. To manage our anticipated development and expansion, we must continue to implement and improve our managerial, operational, legal, compliance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w:t>
      </w:r>
    </w:p>
    <w:p>
      <w:pPr>
        <w:spacing w:after="0" w:line="17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a growing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insurance policies are expensive and protect us only from some business risks, which leaves us exposed to significant uninsured liabilities.</w:t>
      </w:r>
    </w:p>
    <w:p>
      <w:pPr>
        <w:spacing w:after="0" w:line="152"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If we obtain marketing approval for any product candidates that we or our collaborators may develop, we intend to acquire insurance coverage to include the sale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of commercial products, but we may be unable to obtain such insurance on commercially reasonable terms or in adequate amounts. We currently maintain insurance coverage for losses relating to an interruption of our development, manufacturing or commercialization efforts caused by contamination in an amount of €50,000,000 per claim up to an aggregate cap of €160,000,000 in any two-year period, and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 We also expect that operating as a public company will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Supervisory Board, our board committees or our Management Board.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00" w:right="260"/>
        <w:spacing w:after="0" w:line="286" w:lineRule="auto"/>
        <w:rPr>
          <w:sz w:val="20"/>
          <w:szCs w:val="20"/>
          <w:color w:val="auto"/>
        </w:rPr>
      </w:pPr>
      <w:r>
        <w:rPr>
          <w:rFonts w:ascii="Arial" w:cs="Arial" w:eastAsia="Arial" w:hAnsi="Arial"/>
          <w:sz w:val="17"/>
          <w:szCs w:val="17"/>
          <w:b w:val="1"/>
          <w:bCs w:val="1"/>
          <w:i w:val="1"/>
          <w:iCs w:val="1"/>
          <w:color w:val="auto"/>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57"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Even if we complete the necessary preclinical studies and clinical trials, the marketing approval process is expensive, time-consuming and uncertain, and we may not be able to obtain approvals for the commercialization of any product candidates we may develop. Any immunotherapy we may develop and the activities associated with its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to commercialize any of our product candidates, we and our collaborators must demonstrate through extensive preclinical studies and clinical trials that our products are safe and effective, including in the target populations.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16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Failure to obtain marketing approval for a product candidate will prevent us from commercializing the product candidate in a given jurisdiction. We have not received approval to market any biopharmaceutical product candidates from regulatory authorities in any jurisdiction, and it is possible that none of our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To our knowledge, there is no current precedent for an mRNA-based immunotherapy such as the type we are developing being approved for sale by the FDA, European Commission or any other regulatory agency elsewhere in the world. Although we expect to submit BLAs for our mRNA-based product candidates in the United States, and in the European Union, mRNA therapies have been classified as gene therapy medicinal products, other jurisdictions may consider our mRNA-based product candidates to be new drugs, not biologics or gene therapy medicinal products, and require different marketing applications.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spacing w:after="0" w:line="277" w:lineRule="auto"/>
        <w:rPr>
          <w:sz w:val="20"/>
          <w:szCs w:val="20"/>
          <w:color w:val="auto"/>
        </w:rPr>
      </w:pPr>
      <w:r>
        <w:rPr>
          <w:rFonts w:ascii="Arial" w:cs="Arial" w:eastAsia="Arial" w:hAnsi="Arial"/>
          <w:sz w:val="18"/>
          <w:szCs w:val="18"/>
          <w:color w:val="auto"/>
        </w:rPr>
        <w:t>undesirable or unintended side effects, toxicities or other characteristics that may preclude our obtaining marketing approval or prevent or limit commercial use.</w:t>
      </w:r>
    </w:p>
    <w:p>
      <w:pPr>
        <w:spacing w:after="0" w:line="17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EMA and comparable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80"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Regulatory agencies also may approve an immunotherapy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and our ability to generate revenues could be materially impaired.</w:t>
      </w:r>
    </w:p>
    <w:p>
      <w:pPr>
        <w:spacing w:after="0" w:line="29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No mRNA immunotherapy has been approved, and none may ever be approved. mRNA drug development has substantial clinical development and regulatory risks due to the novel and unprecedented nature of this new category of therapeutics.</w:t>
      </w:r>
    </w:p>
    <w:p>
      <w:pPr>
        <w:spacing w:after="0" w:line="6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As a potential new category of therapeutics, to our knowledge, no mRNA immunotherapies have been approved to date by the FDA, EMA or other regulatory agency. Successful discovery and development of mRNA-based (and other) immunotherapies by either us or our collaborators is highly uncertain and depends on numerous factors, many of which are beyond our or their control. To date, there has never been a Phase 3 trial for an mRNA-based product or a commercialized mRNA-based product. Our product candidates that appear promising in the early phases of development may fail to advance, experience delays in the clinic or clinical holds, or fail to reach the market for many reasons, including:</w:t>
      </w:r>
    </w:p>
    <w:p>
      <w:pPr>
        <w:spacing w:after="0" w:line="78" w:lineRule="exact"/>
        <w:rPr>
          <w:sz w:val="20"/>
          <w:szCs w:val="20"/>
          <w:color w:val="auto"/>
        </w:rPr>
      </w:pPr>
    </w:p>
    <w:p>
      <w:pPr>
        <w:ind w:left="5620" w:right="3660" w:hanging="4876"/>
        <w:spacing w:after="0" w:line="449" w:lineRule="auto"/>
        <w:tabs>
          <w:tab w:leader="none" w:pos="11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discovery efforts aimed at identifying potential immunotherapies may not be successful; 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nonclinical or preclinical study results may show product candidates to be less effective than desired or have harmful or problematic side effects;</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 results may show the product candidates to be less effective than expected, including a failure to meet one or more endpoints or have unacceptable side effects or toxicities;</w:t>
      </w:r>
    </w:p>
    <w:p>
      <w:pPr>
        <w:spacing w:after="0" w:line="75"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failures or insufficient supply of GMP materials for clinical trials, or higher than expected cost could delay or set back clinical trials, or make our product candidates commercially unattractive;</w:t>
      </w:r>
    </w:p>
    <w:p>
      <w:pPr>
        <w:spacing w:after="0" w:line="75"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improvements in the manufacturing processes may not be sufficient to satisfy the clinical or commercial demand of our product candidates or regulatory requirements for clinical trials;</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that we make to optimize our manufacturing, testing or formulating of GMP materials could impact the safety, tolerability and efficacy of our product candidates;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or reimbursement issues or other factors could delay clinical trials or make any immunotherapy uneconomical or noncompetitive with other therapies;</w:t>
      </w:r>
    </w:p>
    <w:p>
      <w:pPr>
        <w:spacing w:after="0" w:line="75" w:lineRule="exact"/>
        <w:rPr>
          <w:rFonts w:ascii="Arial" w:cs="Arial" w:eastAsia="Arial" w:hAnsi="Arial"/>
          <w:sz w:val="18"/>
          <w:szCs w:val="18"/>
          <w:color w:val="auto"/>
        </w:rPr>
      </w:pPr>
    </w:p>
    <w:p>
      <w:pPr>
        <w:ind w:left="1180" w:hanging="436"/>
        <w:spacing w:after="0" w:line="25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93"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proprietary rights, products and technologies of our competitors may prevent our immunotherapies from being commercialized.</w:t>
      </w:r>
    </w:p>
    <w:p>
      <w:pPr>
        <w:spacing w:after="0" w:line="23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Currently, mRNA is considered a gene therapy product by the FDA. Unlike certain gene therapies that irreversibly alter cell DNA and may cause certain side effects, mRNA-based medicines are designed not to irreversibly change cell DNA. Side effects observed in other gene therapies, however, could negatively impact the perception of immunotherapies despite the differences in mechanism. In addition, because no mRNA-based product has been approved, the regulatory pathway in the United States and may other jurisdictions for approval is uncertain. The pathway for an individualized therapy, such as our iNeST mRNA-based immunotherapy where each patient receives a different combination of mRNAs, remains particularly unsettled. The number and design of the clinical and preclinical studies required for the approval of these types of medicines have not been established, may be different from those required for gene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29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b w:val="1"/>
          <w:bCs w:val="1"/>
          <w:i w:val="1"/>
          <w:iCs w:val="1"/>
          <w:color w:val="auto"/>
        </w:rPr>
        <w:t>Our product candidates may not work as intended, may cause undesirable side effects or may have other properties that could delay or prevent their regulatory approval, limit the commercial profile of an approved label, or result in significant negative consequences following marketing approval, if any.</w:t>
      </w:r>
    </w:p>
    <w:p>
      <w:pPr>
        <w:spacing w:after="0" w:line="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As with most biological products, use of our product candidates could be associated with side effects or adverse events which can vary in severity from minor reactions to death and in frequency from infrequent to prevalent. The potential for adverse events is especially acute in the oncology setting, where patients may have advanced disease, have compromised immune and other systems and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17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unacceptable side effects arise in the development of our product candidates, we, the FDA, competent authorities of European Union member states, ethics committees, the institutional review boards, or IRBs, at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27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Monitoring the safety of patients receiving our product candidates is challenging, which could adversely affect our ability to obtain regulatory approval and commercialize our product candidates.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our ongoing and planned clinical trials, we have contracted with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EMA or other comparable regulatory authority delaying, suspending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 may have a detrimental impact on the efficacy of the treatment. Use of these medicines may increase with new physicians and centers administering our product candidates.</w:t>
      </w:r>
    </w:p>
    <w:p>
      <w:pPr>
        <w:spacing w:after="0" w:line="18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addition, even if we successfully advance one of our product candidates into and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 and safety consequences of taking our product candidates over a multi-year period.</w:t>
      </w:r>
    </w:p>
    <w:p>
      <w:pPr>
        <w:spacing w:after="0" w:line="17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262"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7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293" w:lineRule="exact"/>
        <w:rPr>
          <w:sz w:val="20"/>
          <w:szCs w:val="20"/>
          <w:color w:val="auto"/>
        </w:rPr>
      </w:pPr>
    </w:p>
    <w:p>
      <w:pPr>
        <w:ind w:left="200" w:right="20"/>
        <w:spacing w:after="0" w:line="340" w:lineRule="auto"/>
        <w:rPr>
          <w:sz w:val="20"/>
          <w:szCs w:val="20"/>
          <w:color w:val="auto"/>
        </w:rPr>
      </w:pPr>
      <w:r>
        <w:rPr>
          <w:rFonts w:ascii="Arial" w:cs="Arial" w:eastAsia="Arial" w:hAnsi="Arial"/>
          <w:sz w:val="15"/>
          <w:szCs w:val="15"/>
          <w:b w:val="1"/>
          <w:bCs w:val="1"/>
          <w:i w:val="1"/>
          <w:iCs w:val="1"/>
          <w:color w:val="auto"/>
        </w:rPr>
        <w:t>Clinical development involves a lengthy and expensive process with an uncertain outcome, and delays can occur for a variety of reasons 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2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92" w:lineRule="exact"/>
        <w:rPr>
          <w:sz w:val="20"/>
          <w:szCs w:val="20"/>
          <w:color w:val="auto"/>
        </w:rPr>
      </w:pPr>
    </w:p>
    <w:p>
      <w:pPr>
        <w:ind w:left="1180" w:right="220" w:hanging="436"/>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other regulators, IRBs or ethics committees may not authorize us or our investigators to commence a clinical trial or conduct a clinical trial at a prospective trial site for any number of reasons, including concerns regarding safety and aspects of the clinical trial design;</w:t>
      </w:r>
    </w:p>
    <w:p>
      <w:pPr>
        <w:spacing w:after="0" w:line="86" w:lineRule="exact"/>
        <w:rPr>
          <w:rFonts w:ascii="Arial" w:cs="Arial" w:eastAsia="Arial" w:hAnsi="Arial"/>
          <w:sz w:val="18"/>
          <w:szCs w:val="18"/>
          <w:color w:val="auto"/>
        </w:rPr>
      </w:pPr>
    </w:p>
    <w:p>
      <w:pPr>
        <w:ind w:left="1180" w:hanging="436"/>
        <w:spacing w:after="0" w:line="308" w:lineRule="auto"/>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favorable terms with prospective trial sites and prospective CROs, the terms of which can be subject to extensive negotiation and may vary significantly among different CROs and trial sites;</w:t>
      </w:r>
    </w:p>
    <w:p>
      <w:pPr>
        <w:spacing w:after="0" w:line="51" w:lineRule="exact"/>
        <w:rPr>
          <w:rFonts w:ascii="Arial" w:cs="Arial" w:eastAsia="Arial" w:hAnsi="Arial"/>
          <w:sz w:val="17"/>
          <w:szCs w:val="17"/>
          <w:color w:val="auto"/>
        </w:rPr>
      </w:pPr>
    </w:p>
    <w:p>
      <w:pPr>
        <w:ind w:left="1180" w:right="8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optimized in the past and may in the future optimize our manufacturing processes, including through changes to the scale and site of manufacturing, which may lead to additional studies (including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spacing w:after="0" w:line="277" w:lineRule="auto"/>
        <w:rPr>
          <w:sz w:val="20"/>
          <w:szCs w:val="20"/>
          <w:color w:val="auto"/>
        </w:rPr>
      </w:pPr>
      <w:r>
        <w:rPr>
          <w:rFonts w:ascii="Arial" w:cs="Arial" w:eastAsia="Arial" w:hAnsi="Arial"/>
          <w:sz w:val="18"/>
          <w:szCs w:val="18"/>
          <w:color w:val="auto"/>
        </w:rPr>
        <w:t>bridging and bioequivalence studies) or potentially significant changes in our clinical trial designs, requiring additional cost and time, and, as a consequence, lead to a delay in plans for progressing one or more product candidates;</w:t>
      </w:r>
    </w:p>
    <w:p>
      <w:pPr>
        <w:spacing w:after="0" w:line="76" w:lineRule="exact"/>
        <w:rPr>
          <w:sz w:val="20"/>
          <w:szCs w:val="20"/>
          <w:color w:val="auto"/>
        </w:rPr>
      </w:pPr>
    </w:p>
    <w:p>
      <w:pPr>
        <w:ind w:left="1180" w:right="20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our preclinical studies and our early clinical trials may not be predictive of the success of later clinical trials, and interim results of a clinical trial do not necessarily predict final results;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establish clinical endpoints that applicable regulatory authorities would consider clinically meaningful;</w:t>
      </w:r>
    </w:p>
    <w:p>
      <w:pPr>
        <w:spacing w:after="0" w:line="130"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an effort to optimize product features, we have made in the past and may continue to make changes to our product candidates after we commence clinical trials of a medicine which may require us to repeat earlier stages of clinical testing or delay later-stage testing of the medicine;</w:t>
      </w:r>
    </w:p>
    <w:p>
      <w:pPr>
        <w:spacing w:after="0" w:line="86"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or may produce negative or inconclusive results, and we may decide, or regulators may require us, to conduct additional nonclinical studies or clinical trials, or we may decide to abandon product development programs;</w:t>
      </w:r>
    </w:p>
    <w:p>
      <w:pPr>
        <w:spacing w:after="0" w:line="86"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differences in trial design between early-stage clinical trials and later-stage clinical trials may make it difficult to extrapolate the results of earlier clinical trials to later clinical trials;</w:t>
      </w:r>
    </w:p>
    <w:p>
      <w:pPr>
        <w:spacing w:after="0" w:line="75" w:lineRule="exact"/>
        <w:rPr>
          <w:rFonts w:ascii="Arial" w:cs="Arial" w:eastAsia="Arial" w:hAnsi="Arial"/>
          <w:sz w:val="18"/>
          <w:szCs w:val="18"/>
          <w:color w:val="auto"/>
        </w:rPr>
      </w:pPr>
    </w:p>
    <w:p>
      <w:pPr>
        <w:ind w:left="1180" w:right="260" w:hanging="436"/>
        <w:spacing w:after="0" w:line="308" w:lineRule="auto"/>
        <w:tabs>
          <w:tab w:leader="none" w:pos="1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preclinical and clinical data are often susceptible to varying interpretations and analyses, and many product candidates believed to have performed satisfactorily in preclinical studies and clinical trials have nonetheless failed to obtain marketing approval;</w:t>
      </w:r>
    </w:p>
    <w:p>
      <w:pPr>
        <w:spacing w:after="0" w:line="51" w:lineRule="exact"/>
        <w:rPr>
          <w:rFonts w:ascii="Arial" w:cs="Arial" w:eastAsia="Arial" w:hAnsi="Arial"/>
          <w:sz w:val="17"/>
          <w:szCs w:val="17"/>
          <w:color w:val="auto"/>
        </w:rPr>
      </w:pPr>
    </w:p>
    <w:p>
      <w:pPr>
        <w:jc w:val="both"/>
        <w:ind w:left="1180" w:right="80" w:hanging="436"/>
        <w:spacing w:after="0" w:line="31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One or more of such effects or events could cause 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52" w:lineRule="exact"/>
        <w:rPr>
          <w:rFonts w:ascii="Arial" w:cs="Arial" w:eastAsia="Arial" w:hAnsi="Arial"/>
          <w:sz w:val="16"/>
          <w:szCs w:val="16"/>
          <w:color w:val="auto"/>
        </w:rPr>
      </w:pPr>
    </w:p>
    <w:p>
      <w:pPr>
        <w:ind w:left="1180" w:hanging="436"/>
        <w:spacing w:after="0" w:line="259"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trial participants required for clinical trials of any product candidates may be larger than we anticipate, identification of trial participants for such trials may be limited, enrollment in these clinical trials may be slower than we anticipate due to perceived adverse effects, limited patient populations, competitive trials or other reasons, or participants may withdraw from clinical trials or fail to return for post-treatment follow-up at a higher rate than we anticipate;</w:t>
      </w:r>
    </w:p>
    <w:p>
      <w:pPr>
        <w:spacing w:after="0" w:line="92" w:lineRule="exact"/>
        <w:rPr>
          <w:rFonts w:ascii="Arial" w:cs="Arial" w:eastAsia="Arial" w:hAnsi="Arial"/>
          <w:sz w:val="18"/>
          <w:szCs w:val="18"/>
          <w:color w:val="auto"/>
        </w:rPr>
      </w:pPr>
    </w:p>
    <w:p>
      <w:pPr>
        <w:ind w:left="1180" w:right="80" w:hanging="436"/>
        <w:spacing w:after="0" w:line="34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 or withdraw from the trial, which may require that we add new clinical trial sites;</w:t>
      </w:r>
    </w:p>
    <w:p>
      <w:pPr>
        <w:spacing w:after="0" w:line="29" w:lineRule="exact"/>
        <w:rPr>
          <w:rFonts w:ascii="Arial" w:cs="Arial" w:eastAsia="Arial" w:hAnsi="Arial"/>
          <w:sz w:val="16"/>
          <w:szCs w:val="16"/>
          <w:color w:val="auto"/>
        </w:rPr>
      </w:pPr>
    </w:p>
    <w:p>
      <w:pPr>
        <w:ind w:left="1180" w:right="160" w:hanging="436"/>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may elect to impose a clinical hold, or we, our investigators, IRBs or ethics committees may elect to suspend or terminate clinical research or trials for various reasons, including noncompliance with regulatory requirements or a finding that the participants are being exposed to an unacceptable benefit-risk ratio;</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preclinical or nonclinical testing and studies and clinical trials of any product candidates may be greater than we anticipate;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may be insufficient or inadequate;</w:t>
      </w:r>
    </w:p>
    <w:p>
      <w:pPr>
        <w:spacing w:after="0" w:line="153" w:lineRule="exact"/>
        <w:rPr>
          <w:rFonts w:ascii="Arial" w:cs="Arial" w:eastAsia="Arial" w:hAnsi="Arial"/>
          <w:sz w:val="16"/>
          <w:szCs w:val="16"/>
          <w:color w:val="auto"/>
        </w:rPr>
      </w:pPr>
    </w:p>
    <w:p>
      <w:pPr>
        <w:ind w:left="1180" w:right="200" w:hanging="436"/>
        <w:spacing w:after="0" w:line="34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safety or efficacy concerns regarding our product candidates may result from any concerns arising from nonclinical or clinical testing of other therapies targeting a similar disease state or other therapies, such as gene therapy, that are perceived as similar to ours; and</w:t>
      </w:r>
    </w:p>
    <w:p>
      <w:pPr>
        <w:spacing w:after="0" w:line="29" w:lineRule="exact"/>
        <w:rPr>
          <w:rFonts w:ascii="Arial" w:cs="Arial" w:eastAsia="Arial" w:hAnsi="Arial"/>
          <w:sz w:val="16"/>
          <w:szCs w:val="16"/>
          <w:color w:val="auto"/>
        </w:rPr>
      </w:pPr>
    </w:p>
    <w:p>
      <w:pPr>
        <w:ind w:left="1180" w:right="28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before permitting us to initiate a clinical trial.</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could also encounter delays if a clinical trial is suspended or terminated by us, the FDA or other regulatory authorities, ethics committees, or the IRBs of the institutions in which such trials are being conducted,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or if such trial is recommended for suspension or termination by the DSMB.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173"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Significant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of our product candidates may harm our business, financial condition and prospects significantly.</w:t>
      </w:r>
    </w:p>
    <w:p>
      <w:pPr>
        <w:spacing w:after="0" w:line="25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If we or our collaborators encounter difficulties enrolling participants in our clinical trials, our clinical development activities could be delayed or otherwise adversely affected.</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 to specific a therapeutic area, or for other reasons, including competitive clinical studies for similar</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181"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29"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complexity and design of the study protocol;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trial participants;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including between our own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monitor trial participants adequately during and after treatment;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180" w:right="80" w:hanging="436"/>
        <w:spacing w:after="0" w:line="34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clinicians’ and trial participants’ perceptions of the potential advantages and side effects of the product candidate being studied in relation to other available therapies, including any new drugs or treatments that may be approved for the indications we are investigating;</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and maintain participant informed consent;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trial participants enrolled in clinical trials will not complete a clinical trial.</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 who are available for our clinical trials at such clinical trial sites. Moreover, because in some cases our product candidates represent a departure from more traditional methods for disease treatment and prevention, potential trial participants and their doctors may be inclined to use conventional therapies or other new therapies rather than enroll trial participants in any future clinical trial involving individualized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169"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6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Clinical trials of our product candidates are currently being conducted in numerous countries, including Germany, Austria, Belgium, Czechia, France, Italy, the Netherlands, Poland, Spain, Sweden, the United Kingdom, Israel, Australia, Canada and the United States, and we plan to commercialize our product candidates, if approved, globally. Accordingly, we expect that we will be subject to additional risks related to operating in multiple countries, including:</w:t>
      </w:r>
    </w:p>
    <w:p>
      <w:pPr>
        <w:spacing w:after="0" w:line="92"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in such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Germany and shipping the product candidate to the patient abroad;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taxes, including withholding of payroll taxes;</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staffing and managing operations outside of Germany;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liability under the U.S. Foreign Corrupt Practices Act of 1977 or comparable regulations in other jurisdictions;</w:t>
      </w:r>
    </w:p>
    <w:p>
      <w:pPr>
        <w:spacing w:after="0" w:line="130"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countries that do not respect and protect intellectual property rights to the same extent as do Germany and the United States;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These and other risks associated with our international operations and our collaborations with our collaborators may materially adversely affect our ability to attain or maintain profitable operations.</w:t>
      </w:r>
    </w:p>
    <w:p>
      <w:pPr>
        <w:spacing w:after="0" w:line="279"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3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w:t>
      </w:r>
    </w:p>
    <w:p>
      <w:pPr>
        <w:spacing w:after="0" w:line="1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40"/>
          </w:cols>
          <w:pgMar w:left="240" w:top="459" w:right="6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5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Results of earlier studies and trials of our product candidates may not be predictive of future trial results.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291"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b w:val="1"/>
          <w:bCs w:val="1"/>
          <w:i w:val="1"/>
          <w:iCs w:val="1"/>
          <w:color w:val="auto"/>
        </w:rPr>
        <w:t>Our planned clinical trials or those of our collaborators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There is typically an extremely high rate of attrition for product candidates across categories of medicines proceeding through clinical trials. 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7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Some of our product candidates are being developed or are intended to be co-administered with other developmental therapies or approved medicines. For example, RO198457 (BNT122) is being developed to be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co-administered with checkpoint inhibitors. Such combinations may have additional side effects which may be difficult to predict in future clinical trials.</w:t>
      </w:r>
    </w:p>
    <w:p>
      <w:pPr>
        <w:spacing w:after="0" w:line="248"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applicable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may not be able to develop or obtain approval for companion diagnostics required for commercialization of some of our product candidates.</w:t>
      </w:r>
    </w:p>
    <w:p>
      <w:pPr>
        <w:spacing w:after="0" w:line="14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 xml:space="preserve">Administration of some of our product candidates may require the use of immuno-assays and bioinformatic tools in which patients are screened for optimal target antigens of our product candidates. If safe and effective use of a biologic product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then the FDA generally requires approval or clearance of the diagnostic, known as a companion diagnostic, concurrently with approval of the therapeutic product. To date, the FDA has generally required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intended to select the patients who will respond to cancer treatment to obtain a pre-market approval, or PMA, for that diagnostic, which can take up to several years, simultaneously with approval of the biologic product. Similarly, in the European Union,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may be placed on the market only if it conforms to certain “essential requirements” and bears the </w:t>
      </w:r>
      <w:r>
        <w:rPr>
          <w:rFonts w:ascii="Arial" w:cs="Arial" w:eastAsia="Arial" w:hAnsi="Arial"/>
          <w:sz w:val="16"/>
          <w:szCs w:val="16"/>
          <w:i w:val="1"/>
          <w:iCs w:val="1"/>
          <w:color w:val="auto"/>
        </w:rPr>
        <w:t xml:space="preserve">Conformité Européene </w:t>
      </w:r>
      <w:r>
        <w:rPr>
          <w:rFonts w:ascii="Arial" w:cs="Arial" w:eastAsia="Arial" w:hAnsi="Arial"/>
          <w:sz w:val="16"/>
          <w:szCs w:val="16"/>
          <w:color w:val="auto"/>
        </w:rPr>
        <w:t>Mark, or CE Mark, and the conformity assessment process to obtain the CE Mark can be lengthy.</w:t>
      </w:r>
    </w:p>
    <w:p>
      <w:pPr>
        <w:spacing w:after="0" w:line="16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For our individualized immunotherapy candidates, the FDA and similar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w:t>
      </w:r>
    </w:p>
    <w:p>
      <w:pPr>
        <w:spacing w:after="0" w:line="2"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28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EMA or other regulatory authorities may not consider the endpoints of our clinical trials to provide clinically meaningful results.</w:t>
      </w:r>
    </w:p>
    <w:p>
      <w:pPr>
        <w:spacing w:after="0" w:line="73"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There may not be pharmacologic therapies approved to treat the underlying causes of many diseases that we may address in the future. For instance, we and our collaborators are applying our technology to develop</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 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countries may make similar findings with respect to these endpoints.</w:t>
      </w:r>
    </w:p>
    <w:p>
      <w:pPr>
        <w:spacing w:after="0" w:line="286"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The FDA, EMA or other comparable regulatory authorities may disagree with our regulatory plan and we may fail to obtain regulatory approval of our product candidates.</w:t>
      </w:r>
    </w:p>
    <w:p>
      <w:pPr>
        <w:spacing w:after="0" w:line="6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If the results of our clinical trials are sufficiently compelling, we or our collaborators intend to discuss with the FDA submission of a BLA for our product candidates. However, we do not have any agreement or guidance from the FDA that our regulatory development plans will be sufficient for submission of a BLA for any of our product candidates. The FDA, EMA or other regulatory agencies may grant accelerated approval for our product candidates and, as a condition for accelerated approval, the FDA,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EMA or other regulatory agencies that are more accelerated than those available for regular approvals. In addition, the standard of care may change with the approval of new products in the same indications that we are studying. This may result in the FDA, EMA or other regulatory agencies requesting additional studies to show that our product candidate is superior to the new products.</w:t>
      </w:r>
    </w:p>
    <w:p>
      <w:pPr>
        <w:spacing w:after="0" w:line="182"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Our clinical trial results may also not support approval. In addition, our product candidates could fail to receive regulatory approval for many reasons, including the following:</w:t>
      </w:r>
    </w:p>
    <w:p>
      <w:pPr>
        <w:spacing w:after="0" w:line="76"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regulatory authorities that our product candidates are safe and effective for any of their proposed indications;</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regulatory authorities for approval, including due to the heterogeneity of patient populations;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clinical and other benefits outweigh their safety risks;</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may disagree with our interpretation of data from preclinical studies or clinical trials;</w:t>
      </w:r>
    </w:p>
    <w:p>
      <w:pPr>
        <w:spacing w:after="0" w:line="75"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the EMA or comparable regulatory authorities to support the submission of a BLA or other comparable submissions or to obtain regulatory approval in the United States or elsewhere;</w:t>
      </w:r>
    </w:p>
    <w:p>
      <w:pPr>
        <w:spacing w:after="0" w:line="86" w:lineRule="exact"/>
        <w:rPr>
          <w:rFonts w:ascii="Arial" w:cs="Arial" w:eastAsia="Arial" w:hAnsi="Arial"/>
          <w:sz w:val="18"/>
          <w:szCs w:val="18"/>
          <w:color w:val="auto"/>
        </w:rPr>
      </w:pPr>
    </w:p>
    <w:p>
      <w:pPr>
        <w:ind w:left="5620" w:right="180" w:hanging="4876"/>
        <w:spacing w:after="0" w:line="449" w:lineRule="auto"/>
        <w:tabs>
          <w:tab w:leader="none" w:pos="11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the EMA or comparable regulatory authorities will inspect our manufacturing facilities and may not approve our facilities; and 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4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regulatory authorities may significantly change in a manner rendering our clinical data insufficient for approval.</w:t>
      </w: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We may not be able to file INDs with the FDA, clinical trial applications with the competent authorities of European Union member states or similar applications with other comparable regulatory authorities to commence additional clinical trials on the timelines we expect, and even if we are able to, one or more of these regulatory authorities may not permit us to proceed.</w:t>
      </w:r>
    </w:p>
    <w:p>
      <w:pPr>
        <w:spacing w:after="0" w:line="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timing of filing on our product candidates is dependent on further preclinical, clinical and manufacturing success. We cannot be sure that submission of an IND or IND amendment with the FDA, a clinical trial application with the competent authorities of European Union member states or similar application with other comparable regulatory authorities will result in the FDA, the competent authorities of European Union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297"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b w:val="1"/>
          <w:bCs w:val="1"/>
          <w:i w:val="1"/>
          <w:iCs w:val="1"/>
          <w:color w:val="auto"/>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7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 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169"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effectively protect the product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We may seek breakthrough therapy or fast-track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7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178"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7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86"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We expect some of the product candidates we develop will be regulated as biologics in the United States and therefore they may be subject to competition from biosimilars approved through an abbreviated regulatory pathway.</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82"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a 12-year period of exclusivity. However, there is a risk that this exclusivity could be shortened due to</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96"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b w:val="1"/>
          <w:bCs w:val="1"/>
          <w:i w:val="1"/>
          <w:iCs w:val="1"/>
          <w:color w:val="auto"/>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46"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integrate into cell DNA, or otherwise make any permanent changes to cell DNA. Consequently, we expect that our product candidates will have a different potential side effect profile from gene therapies because they lack risks associated with altering cell DNA irreversibly. Further, we may avail ourselves of ways of mitigating side effects in developing our product candidates to address safety concerns that are not available to all gene therapies, such as lowering the dose of our product candidates during repeat dosing or stopping treatment to potentially ameliorate undesirable side effects.</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Specifically, in Japan, the Pharmaceuticals and Medical Devices Agency has not taken a position on the regulatory classification.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clinical hold on gene therapy products across the field due to risks associated with altering cell DNA irreversibly may apply to our mRNA product candidates irrespective of the mechanistic differences between gene therapies and mRNA.</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mRNA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00"/>
        <w:spacing w:after="0" w:line="264" w:lineRule="auto"/>
        <w:rPr>
          <w:sz w:val="20"/>
          <w:szCs w:val="20"/>
          <w:color w:val="auto"/>
        </w:rPr>
      </w:pPr>
      <w:r>
        <w:rPr>
          <w:rFonts w:ascii="Arial" w:cs="Arial" w:eastAsia="Arial" w:hAnsi="Arial"/>
          <w:sz w:val="18"/>
          <w:szCs w:val="18"/>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7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regulatory requirements that we will be subject to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gene therapy clinical trials are also subject to review and oversight by an institutional biosafety committee, or IBC,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16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or CAT,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188"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8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279"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under applicable international regulatory requirements. The denial or delay of such approval would delay commercialization of our product candidates and adversely impact our potential to generate revenue, our business and our results of operations.</w:t>
      </w:r>
    </w:p>
    <w:p>
      <w:pPr>
        <w:spacing w:after="0" w:line="7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Approval by the FDA in the United States, if obtained, does not ensure approval by regulatory authorities in other countries or jurisdictions. In order to eventually market any of our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those countries. The European Union and other jurisdictions’ regulatory approval processes involve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spacing w:after="0" w:line="28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A third-party investigational drug used in combination with our product candidates may be unable to obtain regulatory approval, which may delay commercialization of our product candidates.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are developing several of our product candidates to be used in combination with our and third-party drugs. Even if any product candidate we develop were to receive marketing approval or be commercialized for use in combination with other existing therapies, we would continue to be subject to the risks that the FDA, the EMA or similar regulatory authorities in other jurisdictions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the EMA or similar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therapies that have not yet been approved for marketing by the FDA, the EMA or similar regulatory authorities in other jurisdictions. We will not be able to market any product candidate we develop in combination with an unapproved therapy if that unapproved therapy does not ultimately obtain marketing approval. In addition, unapproved therapies face the same risks described with respect to our product candidates currently in development and clinical trials, including the potential for serious adverse effects, delay in their clinical trials and lack of FDA, EMA or similar regulatory authority approval.</w:t>
      </w:r>
    </w:p>
    <w:p>
      <w:pPr>
        <w:spacing w:after="0" w:line="18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the FDA, the EMA or similar regulatory authorities in other jurisdictions do not approve these other drugs or revoke their approval of, or if safety, efficacy, manufacturing or supply issues arise with, the drugs we choose to evaluate in combination with any product candidate we develop, we may be unable to obtain approval of or market any product candidate we develop.</w:t>
      </w:r>
    </w:p>
    <w:p>
      <w:pPr>
        <w:spacing w:after="0" w:line="289"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We may be subject to penalties if we fail to comply with regulatory requirements or experience unanticipated problems with our product candidates.</w:t>
      </w:r>
    </w:p>
    <w:p>
      <w:pPr>
        <w:spacing w:after="0" w:line="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Even if we obtain regulatory approval in a jurisdiction,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agency may:</w:t>
      </w:r>
    </w:p>
    <w:p>
      <w:pPr>
        <w:spacing w:after="0" w:line="142" w:lineRule="exact"/>
        <w:rPr>
          <w:sz w:val="20"/>
          <w:szCs w:val="20"/>
          <w:color w:val="auto"/>
        </w:rPr>
      </w:pPr>
    </w:p>
    <w:p>
      <w:pPr>
        <w:ind w:left="5620" w:right="5280" w:hanging="4876"/>
        <w:spacing w:after="0" w:line="536" w:lineRule="auto"/>
        <w:tabs>
          <w:tab w:leader="none" w:pos="11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issue a warning letter asserting that we are in violation of the law; 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approve a pending BLA or supplements to a BLA submitted by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seize product;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any of our product candidates cause undesirable side effects, it could delay or prevent their regulatory approval, limit the commercial potential, or result in significant negative consequences following any potential marketing approval. Product candidates we may develop may be associated with an adverse immune response or other serious adverse events, undesirable side effects or unexpected characteristics. In addition to serious adverse events or side effects caused by any of our product candidates, the administration process or related procedures also can cause undesirable side effects. If any such events occur, the clinical trials of any of our product candidates could be suspended or terminated.</w:t>
      </w:r>
    </w:p>
    <w:p>
      <w:pPr>
        <w:spacing w:after="0" w:line="17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67" w:lineRule="exact"/>
        <w:rPr>
          <w:sz w:val="20"/>
          <w:szCs w:val="20"/>
          <w:color w:val="auto"/>
        </w:rPr>
      </w:pPr>
    </w:p>
    <w:p>
      <w:pPr>
        <w:ind w:left="200" w:right="420" w:firstLine="441"/>
        <w:spacing w:after="0" w:line="273" w:lineRule="auto"/>
        <w:rPr>
          <w:sz w:val="20"/>
          <w:szCs w:val="20"/>
          <w:color w:val="auto"/>
        </w:rPr>
      </w:pPr>
      <w:r>
        <w:rPr>
          <w:rFonts w:ascii="Arial" w:cs="Arial" w:eastAsia="Arial" w:hAnsi="Arial"/>
          <w:sz w:val="17"/>
          <w:szCs w:val="17"/>
          <w:color w:val="auto"/>
        </w:rPr>
        <w:t>Additionally, if we successfully obtain regulatory approval for a product candidate, the FDA or other regulatory authority could require us to adopt a REMS or a risk management plan, or RMP,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that we develop, several potentially significant negative consequences could result, including:</w:t>
      </w:r>
    </w:p>
    <w:p>
      <w:pPr>
        <w:spacing w:after="0" w:line="84" w:lineRule="exact"/>
        <w:rPr>
          <w:sz w:val="20"/>
          <w:szCs w:val="20"/>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or revoke licenses of such product;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 their children;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products we may identify and develop and could have a material adverse impact on our business, financial condition, results of operations and prospects.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we are successful in gaining approval for any of our product candidates we will continue to face significant regulatory oversight of the manufacturing and distribution of our products. Product manufacturers and their facilities are subject to payment of user fees and continual review and periodic inspections by the FDA and other regulatory authorities for compliance with GMP and adherence to commitments made in the BLA.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28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developing and commercializing additional product candidates beyond our current portfolio, our ability to expand our business and achieve our strategic objectives would be impaired.</w:t>
      </w:r>
    </w:p>
    <w:p>
      <w:pPr>
        <w:spacing w:after="0" w:line="6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Although a substantial amount of our efforts will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successfully develop and commercialize such products for many reasons, including the following:</w:t>
      </w:r>
    </w:p>
    <w:p>
      <w:pPr>
        <w:spacing w:after="0" w:line="84"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approved product may not be accepted as safe and effective by trial participants, the medical community or third-party payors.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are unsuccessful in identifying and developing additional products, our potential for growth may be impaired.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Manufacturing of our Product Candidates and Future Pipeline</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b w:val="1"/>
          <w:bCs w:val="1"/>
          <w:i w:val="1"/>
          <w:iCs w:val="1"/>
          <w:color w:val="auto"/>
        </w:rPr>
        <w:t>Our mRNA product candidates are based on novel technologies and any product candidates we develop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7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manufacturing processes for our product candidates are novel and complex. There are no immunotherapies commercialized to date or manufactured at such scale. Due to the novel nature of this technology and limited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product candidates could materially delay our or our collaborators’ ability to continue the clinical trial for that product candidate or require us to begin a new clinical trial with a newly formulated drug product, due to the need to manufacture additional preclinical or clinical supply.</w:t>
      </w:r>
    </w:p>
    <w:p>
      <w:pPr>
        <w:spacing w:after="0" w:line="17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process to generate mRNA product candidates is complex and, if not developed and manufactured under well-controlled conditions, can adversely impact pharmacological activity. Furthermore, we have not manufactured immunotherapies at commercial scale.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188"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 Our mRNA product candidates may prove to have a stability profile that leads to a lower than desired shelf life of the final approved immunotherapy. This poses risk in supply requirements, wasted stock and higher cost of goods.</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181"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Due to the number of different programs, we may have cross contamination of products inside of our factories, CROs,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12-month stability testing. That may require resupplying clinical material, or making additional GMP batches to keep up with clinical trial demand before such pharmaceutical property testing is completed.</w:t>
      </w:r>
    </w:p>
    <w:p>
      <w:pPr>
        <w:spacing w:after="0" w:line="193"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commercial supply of our product candidates. Further, now and in the future one or more of our programs may have a single source of supply for raw materials and excipients.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established a number of analytical assays, and may have to establish several more, to assess the quality of our mRNA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 candidates until the manufacturing or testing process is rectified.</w:t>
      </w:r>
    </w:p>
    <w:p>
      <w:pPr>
        <w:spacing w:after="0" w:line="18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 candidates and result in delays or interruptions to clinical or commercial supply. In addition, the cost associated with such transportation services and the limited pool of vendors may also add additional risks of supply disruptions.</w:t>
      </w:r>
    </w:p>
    <w:p>
      <w:pPr>
        <w:spacing w:after="0" w:line="262"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b w:val="1"/>
          <w:bCs w:val="1"/>
          <w:i w:val="1"/>
          <w:iCs w:val="1"/>
          <w:color w:val="auto"/>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our product candidates for clinical trials or our products for patients, if approved, could be delayed or stopped, or we may be unable to maintain a commercially viable cost structure.</w:t>
      </w:r>
    </w:p>
    <w:p>
      <w:pPr>
        <w:spacing w:after="0" w:line="7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76" w:lineRule="exact"/>
        <w:rPr>
          <w:sz w:val="20"/>
          <w:szCs w:val="20"/>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logistics associated with the collection of a patient’s tumor, blood or other tissue sample;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shipping such samples to a facility for genetic sequencing;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next-generation sequencing of the tumor mRNA;</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biopsy of a sufficient quantity of cancerous tissue to allow for proper sequencing and identification of tumor-specific mutations;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appropriate tumor-specific mutations;</w:t>
      </w:r>
    </w:p>
    <w:p>
      <w:pPr>
        <w:spacing w:after="0" w:line="130" w:lineRule="exact"/>
        <w:rPr>
          <w:rFonts w:ascii="Arial" w:cs="Arial" w:eastAsia="Arial" w:hAnsi="Arial"/>
          <w:sz w:val="18"/>
          <w:szCs w:val="18"/>
          <w:color w:val="auto"/>
        </w:rPr>
      </w:pPr>
    </w:p>
    <w:p>
      <w:pPr>
        <w:ind w:left="1180" w:right="200" w:hanging="436"/>
        <w:spacing w:after="0" w:line="308" w:lineRule="auto"/>
        <w:tabs>
          <w:tab w:leader="none" w:pos="1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use of a software program, including proprietary and open source components, which is hosted in the cloud and a part of our product candidate, to assist with the design of the patient-specific mRNA, which software must be maintained and secured;</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 design of the patient-specific mRNA that encodes for the required neoantigens;</w:t>
      </w:r>
    </w:p>
    <w:p>
      <w:pPr>
        <w:spacing w:after="0" w:line="130"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batch-specific manufacturing failures or issues that arise due to the uniqueness of each patient-specific batch that may not have been foreseen;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quality control testing failures;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failures of batches placed on stability;</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shortages or quality control issues with single-use assemblies, consumables or critical parts sourced from third-party vendors that must be changed out for each patient-specific batch;</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associated with individualized manufacturing that may adversely affect our ability to continue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and timely manufacture and release of the patient-specific batch;</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shipment issues encountered during transport of the batch to the site of patient care;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define a consistent safety profile at a given dose when each participant receives a unique treatment;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single-source suppliers.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due to the custom nature of the equipment and single-use assemblies, we may not be able to supply this expanded need reliably without significant investments. In addition, there will be considerable time to scale up our facilities or build new facilities before we can begin to meet any commercial demand if one or more of our product candidates are approved. This expansion or addition of new facilities could also lead to product comparability issues, which can further delay introduction of new capacity.</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As certain of our product candidates are manufactured for each individual patient, we will be required to maintain a chain of identity with respect to each patient’s tissue sample, sequence data derived from such tissue sample, analyze results of such patient’s genomic analysis, and the custom manufactured product for each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28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Our inability to manufacture sufficient quantities of our product candidates, or our failure to comply with applicable regulatory requirements, would materially and adversely affect our business.</w:t>
      </w:r>
    </w:p>
    <w:p>
      <w:pPr>
        <w:spacing w:after="0" w:line="62"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Manufacturing is a vital component of our individualized immunotherapy approach, and we have invested significantly in our manufacturing facilities. All internal manufacturing is performed under GMP guidelines. We do not rely on any external CMOs for the manufacture of our product candidates and at this time, we have limited redundancy among our facilities. Due to the individualized nature of our product candidates, we do not maintain product reserves. If any of our manufacturing facilities experiences difficulties, including related to manufacturing, product release, shelf life, testing, storage and supply chain management or shipping, our clinical development programs may be delayed or suspended until we can resume operations. We may also be required to incur significant expenditures to resolve such difficulties.</w:t>
      </w:r>
    </w:p>
    <w:p>
      <w:pPr>
        <w:spacing w:after="0" w:line="17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facilities are subject to various regulatory requirements and may be subject to the inspection of the FDA or other regulatory authorities. If we cannot successfully manufacture material that conforms to our specifications and the strict regulatory requirements of the FDA, EMA or comparable regulatory authorities in other jurisdictions, we may not be able to rely on our manufacturing facilities for the manufacture of our product candidates. If the FDA, EMA or another comparable regulatory authority finds our facilities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7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Additionally, we may experience manufacturing difficulties due to resource constraints or as a result of labor disputes or unstable political environments. If we were to encounter any of these difficulties, our ability to provide our product candidate to patients in clinical trials, or to provide product for the treatment of patients once approved, would be jeopardized.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We are subject to regulatory and operational risks associated with the physical and digital infrastructure at both our internal manufacturing facilities and at those of our external service providers.</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While the design of our facilities is based on current standards for biotechnology facilities, it has not been reviewed or pre-approved by any regulatory agency, nor have our facilities been inspected by any regulatory agency such as the FDA. We have designed our facilities to incorporate a significant level of automation of equipment with integration of several digital systems to improve efficiency of operations. We have attempted to achieve a high level of digitization for clinical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design issues, system compatibility or potential cybersecurity breaches. This may lead to delay in supply or shutdown of our facilities. Any disruption in our manufacturing capabilities could cause delays in our production capacity for our drug substances or drug products, impose additional costs, or may require us to identify, qualify and establish an alternative manufacturing site, the occurrence of which could have a material adverse effect on our business, financial condition, results of operations and prospects.</w:t>
      </w:r>
    </w:p>
    <w:p>
      <w:pPr>
        <w:spacing w:after="0" w:line="18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As we expand our development and commercial capacity, we may establish additional manufacturing capabilities and expand to other locations or geographies, which may lead to regulatory delays or prove costly. If we fail to select the correct location, complete the construction in an efficient manner, recruit the required personnel, and generally manage our growth effectively, the development and production of our product candidates could be delayed or curtailed. Additional investments may be needed if changes in our manufacturing process lead to required changes in our infrastructure.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Certain of our product candidates rely on the availability of specialty raw materials, which may not be available to us on acceptable terms or at all.</w:t>
      </w:r>
    </w:p>
    <w:p>
      <w:pPr>
        <w:spacing w:after="0" w:line="152"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product candidates require many specialty raw materials, some of which are manufactured by small companies with limited resources and experience to support a commercial product, and the suppliers may not be able to deliver raw materials to our specifications. In addition, those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17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which could have a material adverse impact on our business.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product candidates are inherently sensitive to shipping and storage conditions and could be subject to risk of loss or damage.</w:t>
      </w:r>
    </w:p>
    <w:p>
      <w:pPr>
        <w:spacing w:after="0" w:line="129"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Our product candidates are sensitive to temperature, storage and handling conditions. Loss in product candidates could occur if the product or product intermediates are not stored or handled properly. Shelf life for our product candidates may vary by product and is not fully quantified and is expected to be variable, and it is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possible that our product candidates could be lost due to expiration prior to use. This has in the past led and could in the future lead to additional manufacturing costs and delays in our ability to supply required quantities for clinical trials or otherwise.</w:t>
      </w:r>
    </w:p>
    <w:p>
      <w:pPr>
        <w:spacing w:after="0" w:line="279"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b w:val="1"/>
          <w:bCs w:val="1"/>
          <w:i w:val="1"/>
          <w:iCs w:val="1"/>
          <w:color w:val="auto"/>
        </w:rPr>
        <w:t>We are subject to significant regulatory oversight with respect to manufacturing our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79"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clinical trials. Poor control of the GMP production processes can lead to product quality failures that can impact our ability to supply product, resulting in cost overruns and delays to clinical timelines, which could be extensive. Such production process issues include but are not limited to:</w:t>
      </w:r>
    </w:p>
    <w:p>
      <w:pPr>
        <w:spacing w:after="0" w:line="94" w:lineRule="exact"/>
        <w:rPr>
          <w:sz w:val="20"/>
          <w:szCs w:val="20"/>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critical deviations in the manufacturing process;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facility and equipment failures;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contamination of the product due to an ineffective quality control strategy;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facility contamination as assessed by the facility and utility environmental monitoring program;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ineffective process, equipment or analytical change management, resulting in failed lot release criteria;</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raw material failures due to ineffective supplier qualification or regulatory compliance issues at critical suppliers;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ineffective product stability;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failed lot release or facility and utility quality control testing;</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ineffective corrective actions or preventative actions taken to correct or avoid critical deviations due to our developing understanding of the manufacturing process as we scale;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failed or defective components or consumables.</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18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Regulatory authorities typically require representative manufacturing site inspections to assess adequate compliance with GMPs and manufacturing controls as described in the filing. If either we or one of our third-party manufacturing sites fails to provide sufficient quality assurance or control, approval to commercialize our product candidates may not be granted. Inspections by regulatory authorities may occur at any time during the development or commercialization phase of products. The inspections may be product-specific or facility-specific for broader GMP inspections or as a follow up to market or development issues that the regulatory agency may identify. Deficient inspection outcomes may influence the ability of our third-party manufacturers or suppliers to fulfill their supply obligations, impacting or delaying supply or delaying programs.</w:t>
      </w:r>
    </w:p>
    <w:p>
      <w:pPr>
        <w:spacing w:after="0" w:line="165"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manufacturing process for any products that we may develop is subject to the FDA’s, the EMA’s and other regulatory authorities’ approval processes, and we may need to contract with manufacturers who we believe can meet applicable regulatory authority requirements on an ongoing basis. If we or our third-party manufacturers are unable to reliably produce product candidates to specifications acceptable to the FDA, the EMA or other regulatory authorities, we or our collaborators may not obtain or maintain the approvals we or they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need to commercialize such products. Even if we or our collaborators obtain regulatory approval for any of our immunotherapies, there is no assurance that either we or our CMOs will be able to manufacture our product candidates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16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In addition, we may not have direct control over the ability of our contract manufacturers to maintain adequate quality control, quality assurance and qualified personnel. Furthermore, all of our contract manufacturers are engaged with other companies to supply or manufacture materials or products for such companies, which exposes our contract manufacturers to regulatory risks for the production of such materials and products. As a result, failure to meet the regulatory requirements for the production of those materials and products may generally affect the regulatory status of our CMOs’ facilities.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 Our potential future dependence upon others for the manufacture of our product candidates and raw materials may adversely affect our future profit margins and our ability to commercialize any products that receive regulatory approval on a timely and competitive basis.</w:t>
      </w:r>
    </w:p>
    <w:p>
      <w:pPr>
        <w:spacing w:after="0" w:line="178"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FDA,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third-party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or product launches, which could be costly to us and otherwise harm our business, financial condition, results of operations and prospects.</w:t>
      </w:r>
    </w:p>
    <w:p>
      <w:pPr>
        <w:spacing w:after="0" w:line="16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will train and qualify all personnel around the appropriate handling of our products and materials, we may not be able to control for or ultimately detect intentional sabotage or negligence by any employee or contractor.</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Commercialization of our Pipeline</w:t>
      </w:r>
    </w:p>
    <w:p>
      <w:pPr>
        <w:spacing w:after="0" w:line="121"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63"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availability and extent of reimbursement by governmental and private payors is essential for most patients to be able to afford expensive treatments such as the medicines that we hope to develop and sell. In addition, because several of our product candidates represent new approaches to the treatment of cancer, we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cannot accurately estimate how these products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in any of our products.</w:t>
      </w:r>
    </w:p>
    <w:p>
      <w:pPr>
        <w:spacing w:after="0" w:line="16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18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For example, the U.S. government recently released a “blueprint,” which is a plan to reduce the cost of drugs. The blueprint contains certain measures that the HHS is already working to implement.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 the marketplace.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73"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87" w:lineRule="exact"/>
        <w:rPr>
          <w:sz w:val="20"/>
          <w:szCs w:val="20"/>
          <w:color w:val="auto"/>
        </w:rPr>
      </w:pPr>
    </w:p>
    <w:p>
      <w:pPr>
        <w:ind w:left="1180" w:right="1020" w:hanging="436"/>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75" w:lineRule="exact"/>
        <w:rPr>
          <w:rFonts w:ascii="Arial" w:cs="Arial" w:eastAsia="Arial" w:hAnsi="Arial"/>
          <w:sz w:val="18"/>
          <w:szCs w:val="18"/>
          <w:color w:val="auto"/>
        </w:rPr>
      </w:pPr>
    </w:p>
    <w:p>
      <w:pPr>
        <w:ind w:left="1180" w:right="760" w:hanging="436"/>
        <w:spacing w:after="0" w:line="277"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in manufacturing, marketing and selling drug products;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will face intense competition from drugs that have already been approved and accepted by the medical community for the treatment of the conditions for which we may develop drugs. We also expect to face competition from new drugs that enter the market. There are a number of drugs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anticipate competing with the largest pharmaceutical companies in the world, many of which are all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we successfully develop product candidates, and obtain approval for them, we will face competition based on many different factors, including:</w:t>
      </w:r>
    </w:p>
    <w:p>
      <w:pPr>
        <w:spacing w:after="0" w:line="154" w:lineRule="exact"/>
        <w:rPr>
          <w:sz w:val="20"/>
          <w:szCs w:val="20"/>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safety and effectiveness of our products relative to alternative therapies,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ease with which our products can be administered and the extent to which patients accept relatively new routes of administration;</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scope of regulatory approvals for these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of any approved immunotherapy;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intellectual property position.</w:t>
      </w:r>
    </w:p>
    <w:p>
      <w:pPr>
        <w:spacing w:after="0" w:line="225"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Our competitors may develop or commercialize products with significant advantages over any products we develop based on any of the factors listed above or on other factors. In addition, our competitors may develop collaborations with or receive funding from larger pharmaceutical or biotechnology companies, providing them with an advantage over us. Our competitors may therefore be more successful in commercializing their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308" w:lineRule="auto"/>
        <w:rPr>
          <w:sz w:val="20"/>
          <w:szCs w:val="20"/>
          <w:color w:val="auto"/>
        </w:rPr>
      </w:pPr>
      <w:r>
        <w:rPr>
          <w:rFonts w:ascii="Arial" w:cs="Arial" w:eastAsia="Arial" w:hAnsi="Arial"/>
          <w:sz w:val="17"/>
          <w:szCs w:val="17"/>
          <w:color w:val="auto"/>
        </w:rPr>
        <w:t>products than we are, which could adversely affect our competitive position and business. Competitive products may make any products we develop obsolete or noncompetitive before we can recover the expenses of developing and commercializing our products, if approved.</w:t>
      </w:r>
    </w:p>
    <w:p>
      <w:pPr>
        <w:spacing w:after="0" w:line="255" w:lineRule="exact"/>
        <w:rPr>
          <w:sz w:val="20"/>
          <w:szCs w:val="20"/>
          <w:color w:val="auto"/>
        </w:rPr>
      </w:pPr>
    </w:p>
    <w:p>
      <w:pPr>
        <w:jc w:val="both"/>
        <w:ind w:left="200" w:right="260"/>
        <w:spacing w:after="0" w:line="312" w:lineRule="auto"/>
        <w:rPr>
          <w:sz w:val="20"/>
          <w:szCs w:val="20"/>
          <w:color w:val="auto"/>
        </w:rPr>
      </w:pPr>
      <w:r>
        <w:rPr>
          <w:rFonts w:ascii="Arial" w:cs="Arial" w:eastAsia="Arial" w:hAnsi="Arial"/>
          <w:sz w:val="16"/>
          <w:szCs w:val="16"/>
          <w:b w:val="1"/>
          <w:bCs w:val="1"/>
          <w:i w:val="1"/>
          <w:iCs w:val="1"/>
          <w:color w:val="auto"/>
        </w:rPr>
        <w:t>The market opportunities for certain of our product candidates may be limited due to the rarity of the disease, or limited to those patients who are ineligible for or have failed prior treatments, and may be small. As the target patient populations for some of our programs are small, we must be able to successfully identify trial participants and achieve a significant market share to maintain profitability and growth.</w:t>
      </w:r>
    </w:p>
    <w:p>
      <w:pPr>
        <w:spacing w:after="0" w:line="3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FDA often approves new therapies initially only for use by patients with relapsed or refractory advanced cancer. We expect to initially seek approval of certain of our product candidates in this context. Subsequently, for those products that prove to be sufficiently beneficial, if any,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18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are small, we may never achieve profitability without obtaining regulatory approval for additional indications.</w:t>
      </w:r>
    </w:p>
    <w:p>
      <w:pPr>
        <w:spacing w:after="0" w:line="281" w:lineRule="exact"/>
        <w:rPr>
          <w:sz w:val="20"/>
          <w:szCs w:val="20"/>
          <w:color w:val="auto"/>
        </w:rPr>
      </w:pPr>
    </w:p>
    <w:p>
      <w:pPr>
        <w:ind w:left="200" w:right="140"/>
        <w:spacing w:after="0" w:line="312" w:lineRule="auto"/>
        <w:rPr>
          <w:sz w:val="20"/>
          <w:szCs w:val="20"/>
          <w:color w:val="auto"/>
        </w:rPr>
      </w:pPr>
      <w:r>
        <w:rPr>
          <w:rFonts w:ascii="Arial" w:cs="Arial" w:eastAsia="Arial" w:hAnsi="Arial"/>
          <w:sz w:val="16"/>
          <w:szCs w:val="16"/>
          <w:b w:val="1"/>
          <w:bCs w:val="1"/>
          <w:i w:val="1"/>
          <w:iCs w:val="1"/>
          <w:color w:val="auto"/>
        </w:rPr>
        <w:t>We currently have no marketing and sales organization and as a company, we have no experience in marketing pharmaceutical products. If we are unable to establish marketing and sales capabilities on our own or through third parties, we may not be able to market and sell our product candidates effectively in the United States and other jurisdictions, if approved, or generate product sales revenue.</w:t>
      </w:r>
    </w:p>
    <w:p>
      <w:pPr>
        <w:spacing w:after="0" w:line="3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Given our stage of development, we have no sales, distribution or marketing capabilities, and we have not designed our preclinical studies and clinical trials with specific commercialization or marketing considerations in mind. To successfully commercialize any products that may result from our development programs, we will need to develop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future collaborators do not commit sufficient resources to commercialize our future products, if any, and we are unable to develop the necessary marketing capabilities on our own, we may be unable to generate sufficient product sales revenue to sustain our business. We will be competing with many companies that currently have extensive and well-funded marketing and sales operations. Without a significant internal team or the support of a third party to perform marketing and sales functions, we may be unable to compete successfully against these more established companies.</w:t>
      </w:r>
    </w:p>
    <w:p>
      <w:pPr>
        <w:spacing w:after="0" w:line="29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b w:val="1"/>
          <w:bCs w:val="1"/>
          <w:i w:val="1"/>
          <w:iCs w:val="1"/>
          <w:color w:val="auto"/>
        </w:rPr>
        <w:t>Our future profitability, if any,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7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future profitability, if any,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87" w:lineRule="exact"/>
        <w:rPr>
          <w:sz w:val="20"/>
          <w:szCs w:val="20"/>
          <w:color w:val="auto"/>
        </w:rPr>
      </w:pPr>
    </w:p>
    <w:p>
      <w:pPr>
        <w:jc w:val="center"/>
        <w:ind w:left="5620" w:right="1280" w:hanging="4876"/>
        <w:spacing w:after="0" w:line="449" w:lineRule="auto"/>
        <w:tabs>
          <w:tab w:leader="none" w:pos="11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on a country-by-country basis, the applicable marketing authorization from the competent regulatory authority; 48</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436"/>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labor and other legal requirements in each jurisdiction that we or our collaborators pursue;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differing medical practices and customs affecting acceptance in the marketplace;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governmental controls, trade restrictions or changes in tariffs;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language barriers;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reimbursement, pricing and insurance regimes;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local laws in the event of a contract dispute.</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274"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auto"/>
        </w:rPr>
        <w:t>Even if we obtain regulatory approval for our product candidates, the products may not gain the market acceptance among physicians, patients, hospitals, cancer treatment centers and others in the medical community necessary for commercial success.</w:t>
      </w:r>
    </w:p>
    <w:p>
      <w:pPr>
        <w:spacing w:after="0" w:line="38"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 Any product that we bring to the market may not gain market acceptance by physicians, trial participants, third-party payors, and others in the medical community.</w:t>
      </w:r>
    </w:p>
    <w:p>
      <w:pPr>
        <w:ind w:left="200"/>
        <w:spacing w:after="0" w:line="254" w:lineRule="auto"/>
        <w:rPr>
          <w:sz w:val="20"/>
          <w:szCs w:val="20"/>
          <w:color w:val="auto"/>
        </w:rPr>
      </w:pPr>
      <w:r>
        <w:rPr>
          <w:rFonts w:ascii="Arial" w:cs="Arial" w:eastAsia="Arial" w:hAnsi="Arial"/>
          <w:sz w:val="18"/>
          <w:szCs w:val="18"/>
          <w:color w:val="auto"/>
        </w:rPr>
        <w:t>Additionally, ethical, social and legal concerns about genetic research could result in additional regulations restricting or prohibiting the products and processes we may use. If these products do not achieve an adequate level of acceptance, we may not generate significant product sales revenue and may not become profitable. The degree of market acceptance of our product candidates, if approved for commercial sale, will depend on a number of factors, including:</w:t>
      </w:r>
    </w:p>
    <w:p>
      <w:pPr>
        <w:spacing w:after="0" w:line="95" w:lineRule="exact"/>
        <w:rPr>
          <w:sz w:val="20"/>
          <w:szCs w:val="20"/>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offer our products, if approved, at competitive prices;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1180" w:right="40" w:hanging="436"/>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any side effects resulting from checkpoint inhibitors or other drugs or therapies with which our products are administered;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 and patients’ willingness to pay out-of-pocket in the absence of third-party coverage or adequate reimbursement.</w:t>
      </w:r>
    </w:p>
    <w:p>
      <w:pPr>
        <w:spacing w:after="0" w:line="170"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Commercial success of any approved products will also depend in large part on the availability of coverage and adequate reimbursement from third-party payors, including government payors such as the Medicare and Medicaid programs and entry into managed care organizations,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do not provide adequate coverage and reimbursement levels for any of our products once approved, whether due to healthcare reform legislation or otherwise, market acceptance and commercial success would be reduced.</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addition, if any of our products are approved for marketing, we or a collaborator will be subject to significant regulatory obligations regarding the submission of safety and other post-marketing information and reports for such product, and will need to continue to comply (or ensure that our third-party providers comply) with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297"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if approved, profitably.</w:t>
      </w:r>
    </w:p>
    <w:p>
      <w:pPr>
        <w:spacing w:after="0" w:line="62"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8" w:lineRule="exact"/>
        <w:rPr>
          <w:sz w:val="20"/>
          <w:szCs w:val="20"/>
          <w:color w:val="auto"/>
        </w:rPr>
      </w:pPr>
    </w:p>
    <w:p>
      <w:pPr>
        <w:jc w:val="both"/>
        <w:ind w:left="200" w:right="720" w:firstLine="441"/>
        <w:spacing w:after="0" w:line="342" w:lineRule="auto"/>
        <w:rPr>
          <w:sz w:val="20"/>
          <w:szCs w:val="20"/>
          <w:color w:val="auto"/>
        </w:rPr>
      </w:pPr>
      <w:r>
        <w:rPr>
          <w:rFonts w:ascii="Arial" w:cs="Arial" w:eastAsia="Arial" w:hAnsi="Arial"/>
          <w:sz w:val="16"/>
          <w:szCs w:val="16"/>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52" w:lineRule="exact"/>
        <w:rPr>
          <w:sz w:val="20"/>
          <w:szCs w:val="20"/>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Obtaining coverage and reimbursement of a product from a government or other third-party payor is a time-consuming and costly process that could require us to provide to the payor supporting scientific, clinical and cost-effectiveness data for the use of our products.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 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183"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7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b w:val="1"/>
          <w:bCs w:val="1"/>
          <w:i w:val="1"/>
          <w:iCs w:val="1"/>
          <w:color w:val="auto"/>
        </w:rPr>
        <w:t>The advancement of healthcare reform legislation may increase the difficulty and cost for us to obtain marketing approval of and commercialize any product candidates we or our collaborators develop and may adversely affect the prices for such product candidates.</w:t>
      </w:r>
    </w:p>
    <w:p>
      <w:pPr>
        <w:spacing w:after="0" w:line="16" w:lineRule="exact"/>
        <w:rPr>
          <w:sz w:val="20"/>
          <w:szCs w:val="20"/>
          <w:color w:val="auto"/>
        </w:rPr>
      </w:pPr>
    </w:p>
    <w:p>
      <w:pPr>
        <w:ind w:left="200" w:right="260" w:firstLine="441"/>
        <w:spacing w:after="0" w:line="273"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ACA was passed, which substantially changes the way health care is financed by both governmental and private insurers, and significantly impacts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178"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The Tax Cuts and Jobs Act of 2017, or the TCJA, includes a provision repealing the tax-based shared responsibility payment imposed by the ACA on certain individuals who fail to maintain qualifying health coverage for all or part of a year that is commonly referred to as the “individual mandate.”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October 13, 2017, an executive order was signed terminating the cost-sharing reduction, or CSR, subsidies that reimburse insurers under the ACA.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Another executive order was signed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With the current presidential administration and Congress, there may be additional administrative or legislative changes, including modification, repeal or replacement of all, or certain provisions of, the ACA. However, it remains to be seen whether new legislation modifying the ACA will be enacted and, if so, precisely what the new legislation will provide, when it will be enacted and what impact it will have on the availability of healthcare and containing or lowering the cost of healthcare. The implications of a potential repeal or replacement of the ACA, for our and our collaborators’ business and financial condition, if any, are not yet clear.</w:t>
      </w:r>
    </w:p>
    <w:p>
      <w:pPr>
        <w:spacing w:after="0" w:line="17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These reductions will remain in effect through 2025 unless additional congressional action is taken.</w:t>
      </w:r>
    </w:p>
    <w:p>
      <w:pPr>
        <w:spacing w:after="0" w:line="15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We expect that additional healthcare reform measures or proposals will be adopted in the future, any of which could limit the amounts that governments will pay for healthcare products and services, which could result in reduced demand for our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9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European Union drug marketing and reimbursement regulations may materially affect our ability to market and receive coverage for our products in the European Union member states.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intend to seek approval to market our product candidates in both the United States and in other selected jurisdictions. If we obtain approval for our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8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European Union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have entered into several arrangements with a related party for the performance of nonclinical research programs, and these arrangements present potential conflicts of interest.</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have had a longstanding relationship with Translational Oncology at the University Medical Center of the Johannes Gutenberg University Mainz (Translationale Onkologie an der Universitätsmedizin der Johannes Gutenberg Universität Mainz gemeinnützige GmbH), or TRON, a non-profit limited liability company engaged in biopharmaceutical research. During 2018 and the six months ended June 30, 2019, we incurred €11.2 million and €4.2 million, respectively, to TRON, and TRON’s research has historically constituted a significant portion of our discovery pipeline and target discovery engine. Prof. Ugur Sahin, M.D., our co-founder and Chief Executive Officer, co-founded TRON and served as Managing Director at TRON until 2019 and currently serves as a Professor of Medicine at the University of Mainz. Prof. Sahin has notified TRON of his intention to resign from this position with TRON, effective September 10, 2019. Additionally, Prof. Christoph Huber, M.D., a member of our Supervisory Board, served on TRON’s supervisory board until his resignation in April 2019. We and TRON also share certain intellectual property.</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existence or appearance of a conflict of interest could depress the price of the ADSs or attract scrutiny from shareholders, regulators or other stakeholders. Additionally, any conflicts of interest would create the risk that our officers may favor their personal interests over those of our shareholders.</w:t>
      </w:r>
    </w:p>
    <w:p>
      <w:pPr>
        <w:spacing w:after="0" w:line="289"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b w:val="1"/>
          <w:bCs w:val="1"/>
          <w:i w:val="1"/>
          <w:iCs w:val="1"/>
          <w:color w:val="auto"/>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3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currently rely and expect to continue to rely on third parties, such as CROs, clinical data management organizations, collaborators, medical institutions and clinical investigators, to conduct various and significant elements of our clinical trials.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17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regulatory or contractual responsibilities. We will be responsible for ensuring that each of our preclinical studies and clinical trials is conducted in accordance with the applicable protocol, legal and regulatory requirements and scientific standards. For example, we will remain responsible for ensuring that each of our clinical trials is conducted in accordance with the general investigational plan and protocols for the trial.</w:t>
      </w:r>
    </w:p>
    <w:p>
      <w:pPr>
        <w:spacing w:after="0" w:line="17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9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and our CROs will be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also are responsible for ensuring that the rights of our</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clinical trial participants are protected. These regulations are enforced by the FDA, the competent authorities of the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assure you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Although we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84"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human errors;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 subject to cyberattacks.</w:t>
      </w:r>
    </w:p>
    <w:p>
      <w:pPr>
        <w:spacing w:after="0" w:line="225"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also expect to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 candidates.</w:t>
      </w:r>
    </w:p>
    <w:p>
      <w:pPr>
        <w:spacing w:after="0" w:line="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have entered into collaborations under which our collaborators have provided, and may in the future provide, funding and other resources for developing and potentially commercializing our product candidates. We expect to enter into additional collaborations to access additional funding, capabilities and expertise in the future. Our existing collaborations, and any future collaborations we enter into, may pose a number of risks, including the following:</w:t>
      </w:r>
    </w:p>
    <w:p>
      <w:pPr>
        <w:spacing w:after="0" w:line="92"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perform or prioritize their obligations as expected;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clinical trials conducted as part of such collaborations may not be successful;</w:t>
      </w:r>
    </w:p>
    <w:p>
      <w:pPr>
        <w:spacing w:after="0" w:line="130" w:lineRule="exact"/>
        <w:rPr>
          <w:rFonts w:ascii="Arial" w:cs="Arial" w:eastAsia="Arial" w:hAnsi="Arial"/>
          <w:sz w:val="18"/>
          <w:szCs w:val="18"/>
          <w:color w:val="auto"/>
        </w:rPr>
      </w:pPr>
    </w:p>
    <w:p>
      <w:pPr>
        <w:jc w:val="both"/>
        <w:ind w:left="1180" w:right="60" w:hanging="436"/>
        <w:spacing w:after="0" w:line="312" w:lineRule="auto"/>
        <w:tabs>
          <w:tab w:leader="none" w:pos="1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of programs based on clinical trial results, changes in the collaborators’ focus or available funding, or external factors, such as an acquisition, that divert resources or create competing priorities;</w:t>
      </w:r>
    </w:p>
    <w:p>
      <w:pPr>
        <w:spacing w:after="0" w:line="52" w:lineRule="exact"/>
        <w:rPr>
          <w:rFonts w:ascii="Arial" w:cs="Arial" w:eastAsia="Arial" w:hAnsi="Arial"/>
          <w:sz w:val="16"/>
          <w:szCs w:val="16"/>
          <w:color w:val="auto"/>
        </w:rPr>
      </w:pPr>
    </w:p>
    <w:p>
      <w:pPr>
        <w:ind w:left="1180" w:right="36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clinical trials, stop a clinical trial,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ind w:left="1180" w:right="280" w:hanging="436"/>
        <w:spacing w:after="0" w:line="26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6" w:lineRule="exact"/>
        <w:rPr>
          <w:rFonts w:ascii="Arial" w:cs="Arial" w:eastAsia="Arial" w:hAnsi="Arial"/>
          <w:sz w:val="18"/>
          <w:szCs w:val="18"/>
          <w:color w:val="auto"/>
        </w:rPr>
      </w:pPr>
    </w:p>
    <w:p>
      <w:pPr>
        <w:ind w:left="1180" w:right="560" w:hanging="436"/>
        <w:spacing w:after="0" w:line="26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candidates developed in collaborations with us may be viewed by our collaborators as competitive with their own product candidates or products, which may cause collaborators to cease to devote resources to the development or commercialization of our product candidates;</w:t>
      </w:r>
    </w:p>
    <w:p>
      <w:pPr>
        <w:spacing w:after="0" w:line="86"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w:t>
      </w:r>
    </w:p>
    <w:p>
      <w:pPr>
        <w:spacing w:after="0" w:line="75" w:lineRule="exact"/>
        <w:rPr>
          <w:rFonts w:ascii="Arial" w:cs="Arial" w:eastAsia="Arial" w:hAnsi="Arial"/>
          <w:sz w:val="18"/>
          <w:szCs w:val="18"/>
          <w:color w:val="auto"/>
        </w:rPr>
      </w:pPr>
    </w:p>
    <w:p>
      <w:pPr>
        <w:ind w:left="1180" w:right="380" w:hanging="436"/>
        <w:spacing w:after="0" w:line="279" w:lineRule="auto"/>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76" w:lineRule="exact"/>
        <w:rPr>
          <w:rFonts w:ascii="Arial" w:cs="Arial" w:eastAsia="Arial" w:hAnsi="Arial"/>
          <w:sz w:val="17"/>
          <w:szCs w:val="17"/>
          <w:color w:val="auto"/>
        </w:rPr>
      </w:pPr>
    </w:p>
    <w:p>
      <w:pPr>
        <w:ind w:left="1180" w:right="80" w:hanging="436"/>
        <w:spacing w:after="0" w:line="26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properly maintain, protect,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75"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the development of our product candidates may be delayed, and we could be required to raise additional capital to pursue further development or commercialization of the applicable product candidates;</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relationships may require us to incur non-recurring and other charges, increase our near- and long-term expenditures, issue securities that dilute our existing shareholders, or disrupt our management and business;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60" w:hanging="436"/>
        <w:spacing w:after="0" w:line="27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could face significant competition in seeking appropriate collaborators, and the negotiation process is time-consuming and complex; and</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international operations through any future collaborations, acquisitions or joint ventures may expose us to certain operating, legal and other risks not encountered in the United States.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If our collaborations do not result in the successful development and commercialization of programs, or if one of our collaborators terminates its agreement with us, we may not receive any future research funding or milestone, earn-out, royalty, or other contingent payments under the collaborations. If we do not receive the funding we expect under these agreements, our development of product candidates could be delayed and we may need additional resources to develop our product candidates. In addition, in general our collaborators have the right to terminate their agreements with us for convenience.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prospectus apply to the activities of our collaborators.</w:t>
      </w:r>
    </w:p>
    <w:p>
      <w:pPr>
        <w:spacing w:after="0" w:line="286" w:lineRule="exact"/>
        <w:rPr>
          <w:sz w:val="20"/>
          <w:szCs w:val="20"/>
          <w:color w:val="auto"/>
        </w:rPr>
      </w:pPr>
    </w:p>
    <w:p>
      <w:pPr>
        <w:ind w:left="200" w:right="120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collaborations on commercially reasonable terms, we may have to alter our research, development and commercialization plans.</w:t>
      </w:r>
    </w:p>
    <w:p>
      <w:pPr>
        <w:spacing w:after="0" w:line="6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of the FDA or similar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73"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189"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540"/>
        <w:spacing w:after="0" w:line="264" w:lineRule="auto"/>
        <w:rPr>
          <w:sz w:val="20"/>
          <w:szCs w:val="20"/>
          <w:color w:val="auto"/>
        </w:rPr>
      </w:pPr>
      <w:r>
        <w:rPr>
          <w:rFonts w:ascii="Arial" w:cs="Arial" w:eastAsia="Arial" w:hAnsi="Arial"/>
          <w:sz w:val="18"/>
          <w:szCs w:val="18"/>
          <w:color w:val="auto"/>
        </w:rPr>
        <w:t>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28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have entered into in-licensing arrangements and may form or seek to enter into additional licensing arrangements in the future, and we may not realize the benefits of such licensing arrangements.</w:t>
      </w:r>
    </w:p>
    <w:p>
      <w:pPr>
        <w:spacing w:after="0" w:line="62"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are a party to licenses that give us rights to third-party intellectual property, including patents and patent applications, that are necessary or useful for our business. In particular, we have obtained licenses from CellScript LLC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17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 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the intellectual property of the licensor that is not subject to the licensing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relationships;</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intellectual property and technology in relation to our development and commercialization of our product candidates, and what activities satisfy those diligence obligations;</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trade secrets, know-how and other intellectual property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left="200" w:right="480" w:firstLine="441"/>
        <w:spacing w:after="0" w:line="342" w:lineRule="auto"/>
        <w:rPr>
          <w:sz w:val="20"/>
          <w:szCs w:val="20"/>
          <w:color w:val="auto"/>
        </w:rPr>
      </w:pPr>
      <w:r>
        <w:rPr>
          <w:rFonts w:ascii="Arial" w:cs="Arial" w:eastAsia="Arial" w:hAnsi="Arial"/>
          <w:sz w:val="16"/>
          <w:szCs w:val="16"/>
          <w:color w:val="auto"/>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124"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If we commit certain material breaches and fail to cure them (if such breach is curable), we are required to repurchase shares held by the Bill &amp; Melinda Gates Foundation.</w:t>
      </w:r>
    </w:p>
    <w:p>
      <w:pPr>
        <w:spacing w:after="0" w:line="6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we commit a specified material breach under the letter agreement with the Bill &amp; Melinda Gates Foundation, or BMGF, and such breach remains uncured after a specified period of time (if curable), we are required to either (i) repurchase the shares held by BMGF or locate a third party to purchase the shares from BMGF, in either case at a price that is the greater of the original purchase price or the fair market value of the shares at the time of repurchase, or (ii) if we cannot meet the requirements under (i) (e.g., because we do not have sufficient cash reserves), then we must use our best efforts to effect BMGF’s withdrawal right as soon as practicable, which may mean acquiring the shares in tranches over time. If we are required to repurchase BMGF’s shares, our financial position could be materially and adversely affected.</w:t>
      </w:r>
    </w:p>
    <w:p>
      <w:pPr>
        <w:spacing w:after="0" w:line="28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rely on third parties to manufacture certain of our clinical product supplies, and we may have to rely on third parties to produce and process our product candidates, if approved.</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Although we expect to continue using our own clinical manufacturing facilities, we may need to rely on outside vendors to manufacture supplies and process our product candidates. We have not yet caused our product candidates to be manufactured or processed on a commercial scale and may not be able to achieve commercial-scale manufacturing and processing and may be unable to create an inventory of mass-produced, off-the-shelf product to satisfy demands for our product candidates.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our reliance on a limited number of third-party manufacturers exposes us to the following risks:</w:t>
      </w:r>
    </w:p>
    <w:p>
      <w:pPr>
        <w:spacing w:after="0" w:line="131" w:lineRule="exact"/>
        <w:rPr>
          <w:sz w:val="20"/>
          <w:szCs w:val="20"/>
          <w:color w:val="auto"/>
        </w:rPr>
      </w:pPr>
    </w:p>
    <w:p>
      <w:pPr>
        <w:ind w:left="1180" w:hanging="436"/>
        <w:spacing w:after="0" w:line="259"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92" w:lineRule="exact"/>
        <w:rPr>
          <w:rFonts w:ascii="Arial" w:cs="Arial" w:eastAsia="Arial" w:hAnsi="Arial"/>
          <w:sz w:val="18"/>
          <w:szCs w:val="18"/>
          <w:color w:val="auto"/>
        </w:rPr>
      </w:pPr>
    </w:p>
    <w:p>
      <w:pPr>
        <w:ind w:left="1180" w:right="58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formulate and manufacture our product or produce the quantity and quality required to meet our clinical and commercial needs, if any;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CMOs may not be able to execute our manufacturing procedures appropriately;</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future CMOs may not perform as agreed or may not remain in the contract manufacturing business for the time required to supply our clinical trials or to successfully produce, store and distribute our products;</w:t>
      </w:r>
    </w:p>
    <w:p>
      <w:pPr>
        <w:spacing w:after="0" w:line="75" w:lineRule="exact"/>
        <w:rPr>
          <w:rFonts w:ascii="Arial" w:cs="Arial" w:eastAsia="Arial" w:hAnsi="Arial"/>
          <w:sz w:val="18"/>
          <w:szCs w:val="18"/>
          <w:color w:val="auto"/>
        </w:rPr>
      </w:pPr>
    </w:p>
    <w:p>
      <w:pPr>
        <w:ind w:left="1180" w:right="560" w:hanging="436"/>
        <w:spacing w:after="0" w:line="259"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the U.S. Drug Enforcement Administration and corresponding state agencies and by regulatory authorities in other jurisdictions to ensure strict compliance with GMP and other government regulations and corresponding standards in other jurisdictions. We do not have control over third-party manufacturers’ compliance with these regulations and standards;</w:t>
      </w:r>
    </w:p>
    <w:p>
      <w:pPr>
        <w:spacing w:after="0" w:line="92"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 with us;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CMOs would also be subject to the same risks we face in developing our own manufacturing capabilities, as described above.</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Each of these risks could delay our clinical trials, the approval, if any, of our product candidates by the FDA or regulatory authorities in other jurisdictions or the commercialization of our product candidates, or result in higher costs or deprive us of potential product sales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29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dependent on single-source suppliers for some of the components and materials used in, and the processes required to develop, our product candidates.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currently depend on single-source suppliers for some of the components and materials used in, and manufacturing processes required to develop,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8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product candidates.</w:t>
      </w:r>
    </w:p>
    <w:p>
      <w:pPr>
        <w:spacing w:after="0" w:line="18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In addition, as part of the FDA’s approval of our product candidates, we will also require FDA review of the individual components of our process, which include the manufacturing processes and facilities of our single-source suppliers.</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reliance on these suppliers, service providers and manufacturers subjects us to a number of risks that could harm our reputation, business and financial condition, including, among other things:</w:t>
      </w:r>
    </w:p>
    <w:p>
      <w:pPr>
        <w:spacing w:after="0" w:line="76"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to the development timelines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180" w:right="92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production delays related to the evaluation and testing of components from alternative suppliers, and corresponding regulatory qualifications;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 in delivery due to our suppliers’ prioritizing other customer orders over ours;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any of these risks materialize, costs could significantly increase and our ability to meet demand for our products could be impacted.</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If our efforts to obtain, maintain, protect, defend and/or enforce the intellectual property related to our product candidates and technologies are not adequate, we may not be able to compete effectively in our market.</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Our commercial success depends in part on our ability to obtain, maintain, protect, defend and enforce patent and other intellectual property, including trade secret and know-how, protection for our product candidates, proprietary technologies and their uses, as well as our ability to operate, develop, manufacture and commercialize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United States and abroad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 any of our patent applications will be considered patentable by the United States Patent and Trademark Office, or the USPTO, courts in the United States or the patent offices and courts in other jurisdictions, including Europe, nor can we be certain that the claims in our issued patents will not be found invalid or unenforceable if challenged. Accordingly, there can be no assurance that our patent applications or those of our licensors will result in additional patents being issued or that issued patents will adequately cover our product candidates or otherwise afford sufficient protection against competitors with similar technology, nor can there be any assurance that the patents issued will not be infringed, designed around, invalidated or held unenforceable. Furthermore, we may not be able to apply for patents on certain aspects of our current or future product candidates, proprietary technologies and their uses in a timely fashion, at a reasonable cost, in all jurisdictions, or at all, and any potential patent protection we obtain may not be sufficient to prevent substantial competition.</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 candidates, proprietary technologies (including methods of manufacture) and their uses. These risks and uncertainties include, from time to time, the following:</w:t>
      </w:r>
    </w:p>
    <w:p>
      <w:pPr>
        <w:spacing w:after="0" w:line="92" w:lineRule="exact"/>
        <w:rPr>
          <w:sz w:val="20"/>
          <w:szCs w:val="20"/>
          <w:color w:val="auto"/>
        </w:rPr>
      </w:pPr>
    </w:p>
    <w:p>
      <w:pPr>
        <w:ind w:left="1180" w:right="180" w:hanging="436"/>
        <w:spacing w:after="0" w:line="277" w:lineRule="auto"/>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USPTO and various other governmental patent agencies require compliance with a number of procedural, documentary, fee payment and other provisions during the patent process,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spacing w:after="0" w:line="277" w:lineRule="auto"/>
        <w:rPr>
          <w:sz w:val="20"/>
          <w:szCs w:val="20"/>
          <w:color w:val="auto"/>
        </w:rPr>
      </w:pPr>
      <w:r>
        <w:rPr>
          <w:rFonts w:ascii="Arial" w:cs="Arial" w:eastAsia="Arial" w:hAnsi="Arial"/>
          <w:sz w:val="18"/>
          <w:szCs w:val="18"/>
          <w:color w:val="auto"/>
        </w:rPr>
        <w:t>noncompliance with which can result in abandonment or lapse of a patent or patent application or a finding that a patent is unenforceable, and partial or complete loss of patent rights in the relevant jurisdiction;</w:t>
      </w:r>
    </w:p>
    <w:p>
      <w:pPr>
        <w:spacing w:after="0" w:line="76" w:lineRule="exact"/>
        <w:rPr>
          <w:sz w:val="20"/>
          <w:szCs w:val="20"/>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issued patents that we own (solely or jointly) or have in-licensed may be challenged, invalidated, modified, revoked, circumvented, found to be unenforceable or otherwise may not provide any competitive advantage;</w:t>
      </w:r>
    </w:p>
    <w:p>
      <w:pPr>
        <w:spacing w:after="0" w:line="75"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sell, import or otherwise exploit our product candidates or other technologies;</w:t>
      </w:r>
    </w:p>
    <w:p>
      <w:pPr>
        <w:spacing w:after="0" w:line="86"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parties may have designed around our patent claims or developed technologies that may be related or competitive to our product candidates or other technologies, may have filed or may file patent applications and may have received or may receive patents that overlap or conflict with our patent filings, either by claiming the same or overlapping methods, products, reagents or devices or by claiming subject matter that could dominate one or more of our patent claims;</w:t>
      </w:r>
    </w:p>
    <w:p>
      <w:pPr>
        <w:spacing w:after="0" w:line="92" w:lineRule="exact"/>
        <w:rPr>
          <w:rFonts w:ascii="Arial" w:cs="Arial" w:eastAsia="Arial" w:hAnsi="Arial"/>
          <w:sz w:val="18"/>
          <w:szCs w:val="18"/>
          <w:color w:val="auto"/>
        </w:rPr>
      </w:pPr>
    </w:p>
    <w:p>
      <w:pPr>
        <w:ind w:left="1180" w:right="38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in-licensed to us could deprive us of rights necessary for the development and exploitation of our product candidates and other technologies or the successful commercialization of any product candidates and other technologies that we may develop;</w:t>
      </w:r>
    </w:p>
    <w:p>
      <w:pPr>
        <w:spacing w:after="0" w:line="86" w:lineRule="exact"/>
        <w:rPr>
          <w:rFonts w:ascii="Arial" w:cs="Arial" w:eastAsia="Arial" w:hAnsi="Arial"/>
          <w:sz w:val="18"/>
          <w:szCs w:val="18"/>
          <w:color w:val="auto"/>
        </w:rPr>
      </w:pPr>
    </w:p>
    <w:p>
      <w:pPr>
        <w:ind w:left="1180" w:right="10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jurisdictions are confidential for a period of time after filing, we cannot be certain that we, our co-owners or our licensors were the first to file any patent application related to our product candidates, proprietary technologies and their uses;</w:t>
      </w:r>
    </w:p>
    <w:p>
      <w:pPr>
        <w:spacing w:after="0" w:line="86"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court or patent office proceeding, such as a derivative action or interference, can be provoked or instituted by a third party or a patent office, and might determine that one or more of the inventions described in our patent filings, or in those we licensed, was first invented by someone else, so that we may lose rights to such invention(s);</w:t>
      </w:r>
    </w:p>
    <w:p>
      <w:pPr>
        <w:spacing w:after="0" w:line="86"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 court or other patent proceeding, such as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or opposition, can be instituted by a third party to challenge the inventorship, scope, validity and/or enforceability of our patent claims and might result in invalidation or revision of one or more of our patent claims, or in a determination that such claims are unenforceable;</w:t>
      </w:r>
    </w:p>
    <w:p>
      <w:pPr>
        <w:spacing w:after="0" w:line="86" w:lineRule="exact"/>
        <w:rPr>
          <w:rFonts w:ascii="Arial" w:cs="Arial" w:eastAsia="Arial" w:hAnsi="Arial"/>
          <w:sz w:val="18"/>
          <w:szCs w:val="18"/>
          <w:color w:val="auto"/>
        </w:rPr>
      </w:pPr>
    </w:p>
    <w:p>
      <w:pPr>
        <w:jc w:val="both"/>
        <w:ind w:left="1180" w:right="34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6" w:lineRule="exact"/>
        <w:rPr>
          <w:rFonts w:ascii="Arial" w:cs="Arial" w:eastAsia="Arial" w:hAnsi="Arial"/>
          <w:sz w:val="18"/>
          <w:szCs w:val="18"/>
          <w:color w:val="auto"/>
        </w:rPr>
      </w:pPr>
    </w:p>
    <w:p>
      <w:pPr>
        <w:ind w:left="1180" w:right="70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competitors a better opportunity to create, develop and market competing product candidates.</w:t>
      </w:r>
    </w:p>
    <w:p>
      <w:pPr>
        <w:spacing w:after="0" w:line="17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Congress of the United States and in international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not protect intellectual property rights to the same extent as U.S. laws, and those countries may lack adequate rules and procedures for granting, maintaining, protecting, defending and enforcing our intellectual property rights.</w:t>
      </w:r>
    </w:p>
    <w:p>
      <w:pPr>
        <w:spacing w:after="0" w:line="17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Furthermore, the patent prosecution process is also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16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product candidates or which effectively prevent others from commercializing competitive technologies and product candidates. As a result, our intellectual property may not provide us with sufficient rights to exclude others from commercializing products similar or identical to ours.</w:t>
      </w:r>
    </w:p>
    <w:p>
      <w:pPr>
        <w:spacing w:after="0" w:line="175"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 and the damages or other remedies awarded if we were to prevail may not be commercially meaningful.</w:t>
      </w:r>
    </w:p>
    <w:p>
      <w:pPr>
        <w:spacing w:after="0" w:line="16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and technical personnel, even if the eventual outcome is favorable to us.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degree of future protection for our intellectual property and other proprietary rights is uncertain, and we cannot ensure that:</w:t>
      </w:r>
    </w:p>
    <w:p>
      <w:pPr>
        <w:spacing w:after="0" w:line="131" w:lineRule="exact"/>
        <w:rPr>
          <w:sz w:val="20"/>
          <w:szCs w:val="20"/>
          <w:color w:val="auto"/>
        </w:rPr>
      </w:pPr>
    </w:p>
    <w:p>
      <w:pPr>
        <w:ind w:left="1180" w:right="58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 candidates and other technologies;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that we own or license expire;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were the first to make the inventions covered by each of the patents and pending patent applications that we own or license;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our co-owners or our licensors were the first to file patent applications for these inventions;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will not develop similar or alternative products or technologies that do not infringe the patents we own or license;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 candidates and other technologies or will provide us with any competitive advantages;</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30" w:lineRule="exact"/>
        <w:rPr>
          <w:rFonts w:ascii="Arial" w:cs="Arial" w:eastAsia="Arial" w:hAnsi="Arial"/>
          <w:sz w:val="18"/>
          <w:szCs w:val="18"/>
          <w:color w:val="auto"/>
        </w:rPr>
      </w:pPr>
    </w:p>
    <w:p>
      <w:pPr>
        <w:ind w:left="1180" w:right="160" w:hanging="436"/>
        <w:spacing w:after="0" w:line="342" w:lineRule="auto"/>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development and commercialization activities, including our manufacturing processes, or products will not infringe upon the patents of our competitors or any other third parties, including any non-practicing entities or patent assertion entities.</w:t>
      </w:r>
    </w:p>
    <w:p>
      <w:pPr>
        <w:spacing w:after="0" w:line="279"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intellectual property rights or may assert intellectual property rights that prevent us from developing and commercializing our product candidates and other technologies.</w:t>
      </w:r>
    </w:p>
    <w:p>
      <w:pPr>
        <w:spacing w:after="0" w:line="62"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practice in new and evolving scientific fields, the continued development and potential use of which has resulted in many different patents and patent applications from organizations and individuals seeking to obtain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intellectual property protection in the fields. We own and in-license patent applications and issued patents that describe and/or claim certain technologies, including products, reagents, formulations and methods including uses and manufacturing methods, or features or aspects of any of these. These issued patents and pending patent applications claim certain compositions of matter and methods relating to the discovery, development, manufacture and commercialization of therapeutic modalities and our delivery technologies, including LNPs. If we, our co-owners or our licensors are unable to obtain, maintain, protect, defend or enforce patent protection with respect to our product candidates and other technology and any product candidates and technology we develop, our business, financial condition, results of operations and prospects could be materially harmed.</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the scientific fields mature, our known competitors and other third parties have filed, and will continue to file, patent applications claiming inventions in the field in the United States and abroad. There is 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18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 xml:space="preserve">We, our co-owners or our licensors may in the future become a party to patent proceedings or priority disputes in the United States, Europe or other jurisdictions. The Leahy-Smith America Invents Act, or the America Invents Act, enacted in September 2011, included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We expect that our competitors and other third parties will institute litigation and other proceedings, such as interference, reexamination and opposition proceedings, as well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and post-grant review proceedings against us and the patents and patent applications that we own and in-license. We expect that we will be subject to similar proceedings or priority disputes, including oppositions, in Europe or other foreign jurisdictions relating to patents and patent applications in our portfolio.</w:t>
      </w:r>
    </w:p>
    <w:p>
      <w:pPr>
        <w:spacing w:after="0" w:line="166"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If we, our co-owners or our licensors are unsuccessful in any interference proceedings or other priority or validity disputes, including any derivations,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adverse impact on our business and our ability to successfully compete against our current and future competitors.</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There are many issued and pending patent filings that claim aspects of technologies that we may need for our mRNA product candidates or other product candidates, including patent filings that relate to relevant delivery technologies. There are also many issued patents that claim targeting genes or portions of genes that may be relevant for immunotherapies we wish to develop. In addition, there may be issued and pending patent applications that may be asserted against us in a court proceeding or otherwise based upon the asserting party’s belief that we may need such patents for the development, manufacturing and commercialization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reasonable terms or a court rules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and commercialization of one or more of the product candidates we may develop. Any of the foregoing could result in a material adverse effect on our business, financial condition, results of operations or prospects.</w:t>
      </w:r>
    </w:p>
    <w:p>
      <w:pPr>
        <w:spacing w:after="0" w:line="280"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b w:val="1"/>
          <w:bCs w:val="1"/>
          <w:i w:val="1"/>
          <w:iCs w:val="1"/>
          <w:color w:val="auto"/>
        </w:rPr>
        <w:t>We may not be successful in obtaining, maintaining, protecting or defending the necessary intellectual property rights to allow us to identify and develop product candidates, product components and manufacturing processes for our development pipeline.</w:t>
      </w:r>
    </w:p>
    <w:p>
      <w:pPr>
        <w:spacing w:after="0" w:line="3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currently have rights to certain intellectual property, through our owned and in-licensed patents and other intellectual property rights, relating to identification and development of our product candidates or other technologies. As our pipeline may involve additional product candidates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16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For example, we sometimes collaborate with academic institutions in certain aspects of our preclinical research or development under written agreements with these institutions. Typically, these institutions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w:t>
      </w:r>
    </w:p>
    <w:p>
      <w:pPr>
        <w:spacing w:after="0" w:line="193"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93"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lifespans of our patents may not be sufficient to effectively protect our product candidates, technologies and business.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assuming maintenance fees are timely paid after the patent has issued. Most foreign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any product candidates we may develop, our business may be materially harmed.</w:t>
      </w:r>
    </w:p>
    <w:p>
      <w:pPr>
        <w:spacing w:after="0" w:line="15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1" w:lineRule="exact"/>
        <w:rPr>
          <w:sz w:val="20"/>
          <w:szCs w:val="20"/>
          <w:color w:val="auto"/>
        </w:rPr>
      </w:pPr>
    </w:p>
    <w:p>
      <w:pPr>
        <w:ind w:left="200" w:right="5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are heavily reliant upon licenses to certain intellectual property and other proprietary rights from third parties that are important or necessary to the development and commercialization of our technology and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any or all of our licenses.</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third parties, or such activities, if controlled by us, may require the input of such third parties. In some cases, patent prosecution of our in-licensed intellectual property is controlled solely by the licensor. We may also require the cooperation of our licensors and collaborators to enforce or defend any in-licensed patent rights, and such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Any of the foregoing could have a material adverse effect on our competitive position, business, financial conditions, results of operations and prospects.</w:t>
      </w:r>
    </w:p>
    <w:p>
      <w:pPr>
        <w:spacing w:after="0" w:line="169"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Moreover, any failure to satisfy obligations or any material breach under any of our licenses to third-party intellectual property could give the licensor the right to terminate the license. Our existing license agreements impose, and we expect that future license agreements will impose, various diligence, milestone and royalty payment, exclusivity and other obligations on us. If we fail to comply with our obligations under these agreements, or we are subject to a bankruptcy, the licensor may have the right to terminate the license agreement, in which event we would not be able to develop, market and commercialize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and commercialize the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terminated, or if the underlying patents or other intellectual property fail to provide the intended exclusivity, competitors would have the freedom to seek regulatory approval of, and to market and commercialize, products similar or identical to ours.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75"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market and commercialize our product candidates could suffer. Moreover, if disputes over intellectual property that we have in-licensed prevent or impair our ability to maintain our current licensing arrangements on commercially acceptable terms, we may be unable to successfully develop, market and commercialize the affected product candidates, which could have a material adverse effect on our business, financial condition, results of operations and prospects.</w:t>
      </w:r>
    </w:p>
    <w:p>
      <w:pPr>
        <w:spacing w:after="0" w:line="30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b w:val="1"/>
          <w:bCs w:val="1"/>
          <w:i w:val="1"/>
          <w:iCs w:val="1"/>
          <w:color w:val="auto"/>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73"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Certain intellectual property rights that have been in-licensed, including patent applications and patents that we in-license from the University of Pennsylvania and the Louisiana State University, have been generated through the use of U.S. government funding and are therefore subject to certain federal regulations. As a result,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the U.S. government may have certain rights to intellectual property embodied in our current or future product candidates pursuant to the Bayh-Dole Act of 1980, or the Bayh-Dole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also has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178"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are unable to comply with these manufacturing requirements, we may experience a material adverse effect on our competitive position, business, financial conditions, results of operations and prospects.</w:t>
      </w:r>
    </w:p>
    <w:p>
      <w:pPr>
        <w:spacing w:after="0" w:line="29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b w:val="1"/>
          <w:bCs w:val="1"/>
          <w:i w:val="1"/>
          <w:iCs w:val="1"/>
          <w:color w:val="auto"/>
        </w:rPr>
        <w:t>Our current proprietary position for certain product candidates depends upon our owned or in-licensed patent filings covering components of such product candidates, manufacturing-related methods, formulations and/or methods of use, which may not adequately prevent a competitor or other third party from using the same product candidate for the same or a different use.</w:t>
      </w:r>
    </w:p>
    <w:p>
      <w:pPr>
        <w:spacing w:after="0" w:line="73"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Composition of matter patent protection is generally considered to be desirable because it provides protection without regard to any particular method of use or manufacture or formulation. While we have obtained patent protection covering components of certain product candidates, manufacturing-related methods, formulations and/or methods of use, we do not currently have any claims in our owned or in-licensed issued U.S. patents that cover, for example, the overall construct used in our iNeST product candidates, and we cannot be certain that claims in any future patents issuing from our pending owned or in-licensed patent applications or our future owned or in-licensed patent applications will cover the composition of matter of our current or future product candidates.</w:t>
      </w:r>
    </w:p>
    <w:p>
      <w:pPr>
        <w:spacing w:after="0" w:line="193"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Method of use patents protect the use of a product for the specified method and formulation patents cover formulations to deliver therapeutics.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w:t>
      </w:r>
    </w:p>
    <w:p>
      <w:pPr>
        <w:spacing w:after="0" w:line="62"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Because our product candidates are still in early developmental stages, and one or more features of the product candidates or related technologies such as their manufacture, formulation or use, may still change, we cannot be confident that we are aware of all third-party intellectual property that might be relevant to products that we eventually hope to commercialize.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is submitted. Given the uncertainty of clinical trials, we cannot be certain of the timing of their completion and it is possible that we might want to submit an NDA at a time when one or more relevant third-party patents is in force. Thus, it is possible that at the time that we commercialize our product candidates, one or more third parties may have issued patent claims that cover our products or critical features of their production or use. We may not be able to commercialize our products if patents issued to third parties or other third-party intellectual property rights cover, or may be alleged to cover, our products or elements thereof, or their methods of manufacture or use at the time that we seek to commercialize them. In such cases, we may not be in a position to develop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or not available on commercially reasonable terms or at all, and design-around could be prohibitively expensive or impossible.</w:t>
      </w:r>
    </w:p>
    <w:p>
      <w:pPr>
        <w:spacing w:after="0" w:line="172"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It is also possible that we have failed to identify relevant third-party patents that cover, or applications that will mature into patents that cover, one or more aspects of our platform or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273"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i w:val="1"/>
          <w:iCs w:val="1"/>
          <w:color w:val="auto"/>
        </w:rPr>
        <w:t>We may be involved in lawsuits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73"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 xml:space="preserve">There is a substantial amount of litigation, both within and outside the United States, involving patent and other intellectual property rights in the biotechnology and pharmaceutical industries, including patent infringement lawsuits, interferences, oppositions,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reexaminations,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and corresponding European and other non-U.S. patent offices. 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against issued U.S. patents and opposition proceedings against European patents owned by third parties in the field of immunotherapy. We have a number of these opposition proceedings ongoing at the European Patent Office against third-party patents related to mRNA technologies. As the biotechnology and pharmaceutical industries expand and more patents are issued, the risk increases that our product candidates may be subject to claims of infringement of the patent rights of third parties.</w:t>
      </w:r>
    </w:p>
    <w:p>
      <w:pPr>
        <w:spacing w:after="0" w:line="16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addition, in a patent infringement proceeding, our owned or in-licensed patents may be challenged and a court may decide that a patent we own or in-license is not valid, is unenforceable and/or is not infringed. If we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competitive position, business, financial conditions, results of operations and prospects.</w:t>
      </w:r>
    </w:p>
    <w:p>
      <w:pPr>
        <w:spacing w:after="0" w:line="173"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Third parties, ranging from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methods of manufacture or methods for treatment related to the use, development, manufacture or commercialization of our product candidates. As patent applications can take many years to issue, there may be currently pending patent applications which may later result in issued patents that our product candidates may infringe. In addition, third parties may obtain patents in the future and claim that our technologies infringe upon these patents. If any third-party patents were held by a court of competent jurisdiction to cover the manufacturing process of any of our product candidates, any molecules formed during the manufacturing process or any final product itself, the holders of any such patents may obtain injunctive or other equitable relief, which could effectively block our ability to develop and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 or may be non-exclusive.</w:t>
      </w:r>
    </w:p>
    <w:p>
      <w:pPr>
        <w:spacing w:after="0" w:line="16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collaborations that would help us bring our product candidates to market.</w:t>
      </w:r>
    </w:p>
    <w:p>
      <w:pPr>
        <w:spacing w:after="0" w:line="166"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we can because of their greater financial resources. Uncertainties resulting from the initiation and continuation of patent litigation or other proceedings could compromise our ability to compete in the marketplace.</w:t>
      </w:r>
    </w:p>
    <w:p>
      <w:pPr>
        <w:spacing w:after="0" w:line="170"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147"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 candidates, which could limit our ability to generate revenues or achieve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189"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it could have a material adverse effect on the price of the ADSs.</w:t>
      </w:r>
    </w:p>
    <w:p>
      <w:pPr>
        <w:spacing w:after="0" w:line="280" w:lineRule="exact"/>
        <w:rPr>
          <w:sz w:val="20"/>
          <w:szCs w:val="20"/>
          <w:color w:val="auto"/>
        </w:rPr>
      </w:pPr>
    </w:p>
    <w:p>
      <w:pPr>
        <w:jc w:val="both"/>
        <w:ind w:left="200" w:right="3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or in other countries could diminish the value of patents in general, thereby impairing our ability to protect our products.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will be prosecuted and also may affect patent litigation.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addition to seeking patent protection for some of our technology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and development processes that involve proprietary know-how, information or technology that is not covered by patents. However, trade secrets and know-how may be difficult to protect.</w:t>
      </w:r>
    </w:p>
    <w:p>
      <w:pPr>
        <w:spacing w:after="0" w:line="17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Despite our best efforts, any of these parties may breach the agreements and we cannot be certain that our trade secrets and other confidential proprietary information will not be disclosed or that competitors will not otherwise gain access to our trade secrets or independently develop substantially equivalent information and techniques.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will not be able to establish or maintain a competitive advantage in our market, which could materially adversely affect our business, operating results, financial condition and prospects.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73"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We may in the future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The assignment of intellectual property rights may not be self-executing, or the assignment agreements may be breached. For example, we may have inventorship disputes arise from conflicting obligations of employees, consultants, independent contractors, collaborators or other third parties who are involved in developing and commercializing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and other employees.</w:t>
      </w:r>
    </w:p>
    <w:p>
      <w:pPr>
        <w:spacing w:after="0" w:line="18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Furthermore, the laws of some other countries do not protect intellectual property and other proprietary rights or establish ownership of inventions to the same extent or in the same manner as the laws of the United States. A majority of our employees work in Germany and are subject to German employment law. Ideas, developments, discoveries and inventions made by such employees and consultants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28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Filing, prosecuting and defending patents on product candidates and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marketing and commercialization of competing products in violation of our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right="380" w:firstLine="441"/>
        <w:spacing w:after="0" w:line="25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180" w:right="360" w:hanging="436"/>
        <w:spacing w:after="0" w:line="264"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be able to make personalized cancer immunotherapies that are similar to any product candidates we may develop and commercialize or utilize similar technologies that are not covered by the claims of the patents that we now or may in the future own or have exclusively in-licensed;</w:t>
      </w:r>
    </w:p>
    <w:p>
      <w:pPr>
        <w:spacing w:after="0" w:line="86"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make the inventions covered by the issued patents or pending patent applications that we own or have exclusively in-licensed;</w:t>
      </w:r>
    </w:p>
    <w:p>
      <w:pPr>
        <w:spacing w:after="0" w:line="75"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our co-owners or our licensors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or those that we may own or in-license in the future will not lead to issued patents;</w:t>
      </w:r>
    </w:p>
    <w:p>
      <w:pPr>
        <w:spacing w:after="0" w:line="142" w:lineRule="exact"/>
        <w:rPr>
          <w:rFonts w:ascii="Arial" w:cs="Arial" w:eastAsia="Arial" w:hAnsi="Arial"/>
          <w:sz w:val="17"/>
          <w:szCs w:val="17"/>
          <w:color w:val="auto"/>
        </w:rPr>
      </w:pPr>
    </w:p>
    <w:p>
      <w:pPr>
        <w:ind w:left="1180" w:right="18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issued patents that we own or have exclusively in-licensed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180" w:right="540" w:hanging="436"/>
        <w:spacing w:after="0" w:line="308" w:lineRule="auto"/>
        <w:tabs>
          <w:tab w:leader="none" w:pos="1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and other healthcare laws. If we are unable to comply, or have not fully complied, with such laws, we could face substantial penalties.</w:t>
      </w:r>
    </w:p>
    <w:p>
      <w:pPr>
        <w:spacing w:after="0" w:line="6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may be subject to additional healthcare regulation and enforcement by the U.S. federal government and by authorities in the United States, the European Union and other jurisdictions in which we conduct our business.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95" w:lineRule="exact"/>
        <w:rPr>
          <w:sz w:val="20"/>
          <w:szCs w:val="20"/>
          <w:color w:val="auto"/>
        </w:rPr>
      </w:pPr>
    </w:p>
    <w:p>
      <w:pPr>
        <w:ind w:left="1180" w:right="20" w:hanging="436"/>
        <w:spacing w:after="0" w:line="255"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94" w:lineRule="exact"/>
        <w:rPr>
          <w:rFonts w:ascii="Arial" w:cs="Arial" w:eastAsia="Arial" w:hAnsi="Arial"/>
          <w:sz w:val="18"/>
          <w:szCs w:val="18"/>
          <w:color w:val="auto"/>
        </w:rPr>
      </w:pPr>
    </w:p>
    <w:p>
      <w:pPr>
        <w:ind w:left="1180" w:right="20" w:hanging="436"/>
        <w:spacing w:after="0" w:line="25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which prohibit, among other things, individuals or 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93" w:lineRule="exact"/>
        <w:rPr>
          <w:rFonts w:ascii="Arial" w:cs="Arial" w:eastAsia="Arial" w:hAnsi="Arial"/>
          <w:sz w:val="18"/>
          <w:szCs w:val="18"/>
          <w:color w:val="auto"/>
        </w:rPr>
      </w:pPr>
    </w:p>
    <w:p>
      <w:pPr>
        <w:ind w:left="1180" w:right="380" w:hanging="436"/>
        <w:spacing w:after="0" w:line="264"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a scheme or making false or fraudulent statements to defraud any healthcare benefit program, regardless of the payor (</w:t>
      </w:r>
      <w:r>
        <w:rPr>
          <w:rFonts w:ascii="Arial" w:cs="Arial" w:eastAsia="Arial" w:hAnsi="Arial"/>
          <w:sz w:val="18"/>
          <w:szCs w:val="18"/>
          <w:i w:val="1"/>
          <w:iCs w:val="1"/>
          <w:color w:val="auto"/>
        </w:rPr>
        <w:t>e.g.</w:t>
      </w:r>
      <w:r>
        <w:rPr>
          <w:rFonts w:ascii="Arial" w:cs="Arial" w:eastAsia="Arial" w:hAnsi="Arial"/>
          <w:sz w:val="18"/>
          <w:szCs w:val="18"/>
          <w:color w:val="auto"/>
        </w:rPr>
        <w:t>, public or private).</w:t>
      </w:r>
    </w:p>
    <w:p>
      <w:pPr>
        <w:spacing w:after="0" w:line="86" w:lineRule="exact"/>
        <w:rPr>
          <w:rFonts w:ascii="Arial" w:cs="Arial" w:eastAsia="Arial" w:hAnsi="Arial"/>
          <w:sz w:val="18"/>
          <w:szCs w:val="18"/>
          <w:color w:val="auto"/>
        </w:rPr>
      </w:pPr>
    </w:p>
    <w:p>
      <w:pPr>
        <w:ind w:left="1180" w:right="100" w:hanging="436"/>
        <w:spacing w:after="0" w:line="312" w:lineRule="auto"/>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implementing regulations,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52" w:lineRule="exact"/>
        <w:rPr>
          <w:rFonts w:ascii="Arial" w:cs="Arial" w:eastAsia="Arial" w:hAnsi="Arial"/>
          <w:sz w:val="16"/>
          <w:szCs w:val="16"/>
          <w:color w:val="auto"/>
        </w:rPr>
      </w:pPr>
    </w:p>
    <w:p>
      <w:pPr>
        <w:ind w:left="1180" w:right="12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180" w:right="440" w:hanging="436"/>
        <w:spacing w:after="0" w:line="286" w:lineRule="auto"/>
        <w:tabs>
          <w:tab w:leader="none" w:pos="1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 Sunshine Act, which require disclosure of payments and other transfers of value provided to physicians and teaching hospitals, and ownership and investment interests held by physicians and other healthcare providers and their immediate family members and applicable group purchasing organizations.</w:t>
      </w:r>
    </w:p>
    <w:p>
      <w:pPr>
        <w:spacing w:after="0" w:line="70" w:lineRule="exact"/>
        <w:rPr>
          <w:rFonts w:ascii="Arial" w:cs="Arial" w:eastAsia="Arial" w:hAnsi="Arial"/>
          <w:sz w:val="17"/>
          <w:szCs w:val="17"/>
          <w:color w:val="auto"/>
        </w:rPr>
      </w:pPr>
    </w:p>
    <w:p>
      <w:pPr>
        <w:ind w:left="1180" w:right="40" w:hanging="436"/>
        <w:spacing w:after="0" w:line="302" w:lineRule="auto"/>
        <w:tabs>
          <w:tab w:leader="none" w:pos="1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59"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U.S. Foreign Corrupt Practices Act of 1977, as amended, which prohibits, among other things, U.S. companies and their employees and agents, as well as non-U.S. companies that are registered with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spacing w:after="0" w:line="312" w:lineRule="auto"/>
        <w:rPr>
          <w:sz w:val="20"/>
          <w:szCs w:val="20"/>
          <w:color w:val="auto"/>
        </w:rPr>
      </w:pPr>
      <w:r>
        <w:rPr>
          <w:rFonts w:ascii="Arial" w:cs="Arial" w:eastAsia="Arial" w:hAnsi="Arial"/>
          <w:sz w:val="16"/>
          <w:szCs w:val="16"/>
          <w:color w:val="auto"/>
        </w:rPr>
        <w:t>Securities and Exchange Commission, or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52" w:lineRule="exact"/>
        <w:rPr>
          <w:sz w:val="20"/>
          <w:szCs w:val="20"/>
          <w:color w:val="auto"/>
        </w:rPr>
      </w:pPr>
    </w:p>
    <w:p>
      <w:pPr>
        <w:ind w:left="1180" w:right="70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similar healthcare laws and regulations in the European Union and other jurisdictions, including reporting requirements detailing interactions with and payments to healthcare providers.</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73"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96"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We are subject to certain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29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are subject to stringent privacy laws, information security policies and contractual obligations governing the use, processing, and cross-border transfer of personal information and our data privacy and security practices.</w:t>
      </w:r>
    </w:p>
    <w:p>
      <w:pPr>
        <w:spacing w:after="0" w:line="6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receive, generate and store significant and increasing volumes of sensitive information, such as employee, personal and patient data. We are subject to a variety of local, state, national and international laws, directives and regulations that apply to the collection, use, storage, retention, protection, disclosure, transfer and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60"/>
          </w:cols>
          <w:pgMar w:left="24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7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collection and use of personal health data in the European Union had previously been governed by the provisions of the Data Protection Directive, which has been replaced by the European Union General Data Protection Regulation, or GDPR. While the Data Protection Directive did not apply to organizations based outside the European Union, the GDPR has expanded its reach to include any business, regardless of its location, that provides goods or services to residents in the European Union. The GDPR imposes strict requirements on controllers and processors of personal data, including special protections for “sensitive information” which includes health and genetic information of data subjects residing in the European Union. The GDPR also imposes strict rules on the transfer of personal data out of the European Union to the United States and other countries. In addition, the GDPR provides that European Union member states may make their own further laws and regulations limiting the processing of personal data, including genetic, biometric or health data.</w:t>
      </w:r>
    </w:p>
    <w:p>
      <w:pPr>
        <w:spacing w:after="0" w:line="17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15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Other jurisdictions outside the European Union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especially with regard to clinical trial conduct.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may be onerous and adversely affect our business, financial condition, results of operations and prospects. If we fail to comply with the GDPR and the applicable national data protection laws of the European Union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the United States, notice of breaches must be made to affected individuals and the U.S. Secretary of HHS, and for extensive breaches, notice may need to be made to the media or U.S. state Attorneys General. Such a notice could harm our reputation and our ability to compete. HHS has the discretion to impose penalties without attempting to resolve violations through informal means. In addition, U.S. state Attorneys General are authorized to bring civil actions seeking either injunctions or damages in response to violations that threaten the privacy of state residents.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28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will become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left="200" w:right="620" w:firstLine="441"/>
        <w:spacing w:after="0" w:line="308"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9"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Risks Related to our Business</w:t>
      </w:r>
    </w:p>
    <w:p>
      <w:pPr>
        <w:spacing w:after="0" w:line="229"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senior management and scientific personnel.</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The loss of any of these persons’ services may adversely impact the achievement of our research, development, financing and commercialization objectives. We currently do not have “key person” insurance on any of our employees.</w:t>
      </w:r>
    </w:p>
    <w:p>
      <w:pPr>
        <w:spacing w:after="0" w:line="18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17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Recruiting and retaining other qualified employees, consultants and advisors for our business, including scientific and technical personnel, also will be critical to our success. Competition for skilled personnel, including in mRNA research, clinical operations, regulatory affairs, therapeutic area management and manufacturing,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failure to succeed in preclinical studies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300"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b w:val="1"/>
          <w:bCs w:val="1"/>
          <w:i w:val="1"/>
          <w:iCs w:val="1"/>
          <w:color w:val="auto"/>
        </w:rPr>
        <w:t>Our employees, principal investigators and consultants may engage in misconduct or other improper activities, including non-compliance with regulatory standards and requirements and insider trading, which could have an adverse effect on our results of operations.</w:t>
      </w:r>
    </w:p>
    <w:p>
      <w:pPr>
        <w:spacing w:after="0" w:line="16"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are exposed to the risk of fraud or other misconduct by our employees, principal investigators and consultants. Misconduct by these parties could include intentional failures to comply with FDA regulations or the regulations applicable in the European Union and other jurisdictions, provide accurate information to the FDA,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the EMA and other regulatory authorities, comply with healthcare fraud and abuse laws and regulations in the United States and abroad, report financial information or data accurately or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litigation and unfavorable publicity could negatively affect our future business.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employees may, from time to time, bring lawsuits against us regarding injury, creating a hostile work 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287"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b w:val="1"/>
          <w:bCs w:val="1"/>
          <w:i w:val="1"/>
          <w:iCs w:val="1"/>
          <w:color w:val="auto"/>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79"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to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GDPR and relevant member state law in the European Union, and HIPAA and other relevant state and federal privacy laws in the United States.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6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While we have not experienced any material system failures, accidents or security breaches to date, we and a vendor have separately in the past been subject to a security breach resulting in us unknowingly making payments to third parties that were able to gain unauthorized access to our and the vendor’s email systems. We have since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continuity and disaster recovery plans may not adequately protect us from a serious disaster.</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recognize the need for, and are in the early stages of, developing disaster recovery, business continuity and document retention plans that would allow us to be operational despite casualties or unforeseen events impacting our corporate headquarters or distribution center. Without disaster recovery, business continuity and document retention plans, if we encounter difficulties or disasters with our manufacturing facilities or at our corporate headquarters, our critical systems, operations and information may not be restored in a timely manner, or at all, and this could have an adverse effect on our business.</w:t>
      </w:r>
    </w:p>
    <w:p>
      <w:pPr>
        <w:spacing w:after="0" w:line="29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our current or future product candidates.</w:t>
      </w:r>
    </w:p>
    <w:p>
      <w:pPr>
        <w:spacing w:after="0" w:line="62"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of our current or future product candidates in clinical trials, and we may face an even greater risk if we commercialize any product candidate that we may develop. If we cannot successfully defend ourselves against claims that our product candidates caused injuries, we could incur substantial liabilities. Regardless of merit or eventual outcome, liability claims may result in:</w:t>
      </w:r>
    </w:p>
    <w:p>
      <w:pPr>
        <w:spacing w:after="0" w:line="92" w:lineRule="exact"/>
        <w:rPr>
          <w:sz w:val="20"/>
          <w:szCs w:val="20"/>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substantial monetary awards to patients, healthy volunteers or their children;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carry clinical trial insurance, including product liability insurance, which we believe to be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price of the ADS to decline and, if judgments exceed our insurance coverage, could adversely affect our results of operations and business.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our products become subject to a product recall it could harm our reputation, business and financial results.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 Recalls of any of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If we engage in future acquisitions, joint ventures or collaborations, this may increase our capital requirements, dilute our shareholders, cause us to incur debt or assume contingent liabilities, and subject us to other risks. We may not realize the benefits of these acquisitions, joint ventures or collaborations.</w:t>
      </w:r>
    </w:p>
    <w:p>
      <w:pPr>
        <w:spacing w:after="0" w:line="73"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52" w:lineRule="exact"/>
        <w:rPr>
          <w:sz w:val="20"/>
          <w:szCs w:val="20"/>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if we undertake acquisitions, we may utilize our cash,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the ADSs and this Offering</w:t>
      </w:r>
    </w:p>
    <w:p>
      <w:pPr>
        <w:spacing w:after="0" w:line="121"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The price of the ADSs may be volatile and fluctuate substantially, which could result in substantial losses for purchasers of the ADSs in this offering.</w:t>
      </w:r>
    </w:p>
    <w:p>
      <w:pPr>
        <w:spacing w:after="0" w:line="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market price of the ADSs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the ADSs at or above the initial public offering price. The market price for the ADSs may be influenced by many factors, including:</w:t>
      </w:r>
    </w:p>
    <w:p>
      <w:pPr>
        <w:spacing w:after="0" w:line="92" w:lineRule="exact"/>
        <w:rPr>
          <w:sz w:val="20"/>
          <w:szCs w:val="20"/>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commencement or termination of collaborations;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numerous programs in our pipeline, the development of which could each generate news or significant adverse events that could impact financial results or recommendations by securities analysts.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our semi-annual or annual results fall below the expectations of investors or securities analysts, the price of the ADSs could decline substantially. Furthermore, any semi-annual or annual fluctuations in our results may, in turn, cause the price of the ADSs to fluctuate substantially. We believe that period-to-period comparisons of our results are not necessarily meaningful and should not be relied upon as an indication of our future performance.</w:t>
      </w:r>
    </w:p>
    <w:p>
      <w:pPr>
        <w:spacing w:after="0" w:line="18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274" w:lineRule="exact"/>
        <w:rPr>
          <w:sz w:val="20"/>
          <w:szCs w:val="20"/>
          <w:color w:val="auto"/>
        </w:rPr>
      </w:pPr>
    </w:p>
    <w:p>
      <w:pPr>
        <w:jc w:val="both"/>
        <w:ind w:left="200" w:right="220"/>
        <w:spacing w:after="0" w:line="302"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be required to devote substantial time to new compliance initiatives. We will be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46"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as defined in the Jumpstart Our Business Startups Act of 2012, or the JOBS Act, we will incur significant legal, accounting and other expenses that we did not incur as a private company. In addition, the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183"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Pursuant to Section 404 of the Sarbanes-Oxley Act, or Section 404, we will be required to furnish a report by our management on our internal control over financial reporting, including the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our annual filings with</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4" w:lineRule="auto"/>
        <w:rPr>
          <w:sz w:val="20"/>
          <w:szCs w:val="20"/>
          <w:color w:val="auto"/>
        </w:rPr>
      </w:pPr>
      <w:r>
        <w:rPr>
          <w:rFonts w:ascii="Arial" w:cs="Arial" w:eastAsia="Arial" w:hAnsi="Arial"/>
          <w:sz w:val="18"/>
          <w:szCs w:val="18"/>
          <w:color w:val="auto"/>
        </w:rPr>
        <w:t>the SEC.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92" w:lineRule="exact"/>
        <w:rPr>
          <w:sz w:val="20"/>
          <w:szCs w:val="20"/>
          <w:color w:val="auto"/>
        </w:rPr>
      </w:pPr>
    </w:p>
    <w:p>
      <w:pPr>
        <w:ind w:left="200" w:right="200" w:firstLine="441"/>
        <w:spacing w:after="0" w:line="270" w:lineRule="auto"/>
        <w:rPr>
          <w:sz w:val="20"/>
          <w:szCs w:val="20"/>
          <w:color w:val="auto"/>
        </w:rPr>
      </w:pPr>
      <w:r>
        <w:rPr>
          <w:rFonts w:ascii="Arial" w:cs="Arial" w:eastAsia="Arial" w:hAnsi="Arial"/>
          <w:sz w:val="17"/>
          <w:szCs w:val="17"/>
          <w:color w:val="auto"/>
        </w:rPr>
        <w:t>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w:t>
      </w:r>
    </w:p>
    <w:p>
      <w:pPr>
        <w:spacing w:after="0" w:line="290" w:lineRule="exact"/>
        <w:rPr>
          <w:sz w:val="20"/>
          <w:szCs w:val="20"/>
          <w:color w:val="auto"/>
        </w:rPr>
      </w:pPr>
    </w:p>
    <w:p>
      <w:pPr>
        <w:ind w:left="200" w:right="460"/>
        <w:spacing w:after="0" w:line="312"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and may identify additional material weaknesses in the future that may cause us to fail to meet our reporting obligations or result in material misstatements in our financial statements. If we fail to remediate our material weakness, we may not be able to report our financial results accurately or to prevent fraud.</w:t>
      </w:r>
    </w:p>
    <w:p>
      <w:pPr>
        <w:spacing w:after="0" w:line="3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17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Prior to this offering, we have operated as a private company that was not required to comply with the obligations of a public company with respect to internal control over financial reporting. We have historically operated with limited accounting personnel and other resources with which to address our internal control over financial reporting.</w:t>
      </w:r>
    </w:p>
    <w:p>
      <w:pPr>
        <w:spacing w:after="0" w:line="18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In connection with the audit of our 2018 and 2017 financial statements in preparation for this offering, we and our auditors identified a material weakness primarily related to (i) a lack of sufficient accounting and supervisory personnel who have the appropriate level of technical accounting experience and training, (ii) a lack of supervision over external consultants and (iii) a lack of consistent application of accounting processes and procedures by our accounting personnel. These deficiencies constitute a material weakness in our internal control over financial reporting in both design and operation. As a result of the material weakness, management failed to identify audit adjustments in various areas, including but not limited to revenue, capitalization of tangible and intangible assets, and share-based compensation. We have relied on the assistance of outside advisors with expertise in these matters to assist us in the preparation of our financial statements and in our compliance with SEC reporting obligations related to this offering, and we expect to continue to do so while we remediate this material weakness.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have begun to develop a remediation plan to address the material weakness; however, our overall control environment is still immature and may expose us to errors, losses or fraud. Our remediation plan includes the hiring of additional staff. Additionally, we intend to document and implement consistent accounting policies and procedures and provide additional training to our accounting and finance staff. While we are working to remediate the material weakness as quickly and efficiently as possible, we cannot at this time provide an estimate of the costs we expect to incur or the expected timeline in connection with implementing our remediation plan. These remediation measures may be time-consuming and costly, and might place significant demands on our financial and operational resources. If we are unable to successfully remediate this material weakness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ADSs to decline.</w:t>
      </w:r>
    </w:p>
    <w:p>
      <w:pPr>
        <w:spacing w:after="0" w:line="29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and the ADSs less attractive to investors.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an “emerging growth company” under the JOBS Act, and we will remain an emerging growth company until the earlier of:</w:t>
      </w:r>
    </w:p>
    <w:p>
      <w:pPr>
        <w:spacing w:after="0" w:line="131" w:lineRule="exact"/>
        <w:rPr>
          <w:sz w:val="20"/>
          <w:szCs w:val="20"/>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revenues exceed $1.07 billion;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securities during the previous three years;</w:t>
      </w:r>
    </w:p>
    <w:p>
      <w:pPr>
        <w:spacing w:after="0" w:line="130"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 which means the first day of the year following the first year in which, as of the last business day of our most recently completed second fiscal quarter, the market value of our common equity held by non-affiliates exceeds $700 million; and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completion of this offering.</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For so long as we remain an emerging growth company, we are permitted and intend to rely on exemptions from certain disclosure requirements that are applicable to public companies that are not emerging growth companies. These exemptions include:</w:t>
      </w:r>
    </w:p>
    <w:p>
      <w:pPr>
        <w:spacing w:after="0" w:line="76" w:lineRule="exact"/>
        <w:rPr>
          <w:sz w:val="20"/>
          <w:szCs w:val="20"/>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1180" w:right="220" w:hanging="436"/>
        <w:spacing w:after="0" w:line="264"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emerging growth company. We cannot predict whether investors will find the ADSs less attractive if we rely on certain or all of these exemptions. If some investors find the ADSs less attractive as a result, there may be a less active trading market for the ADSs and the price per ADS may be more volatile.</w:t>
      </w:r>
    </w:p>
    <w:p>
      <w:pPr>
        <w:spacing w:after="0" w:line="15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addition, the JOBS Act provides that an emerging growth company may take advantage of an extended transition period for complying with new or revised accounting standards. This allows an emerging growth</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60"/>
          </w:cols>
          <w:pgMar w:left="24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64" w:lineRule="auto"/>
        <w:rPr>
          <w:sz w:val="20"/>
          <w:szCs w:val="20"/>
          <w:color w:val="auto"/>
        </w:rPr>
      </w:pPr>
      <w:r>
        <w:rPr>
          <w:rFonts w:ascii="Arial" w:cs="Arial" w:eastAsia="Arial" w:hAnsi="Arial"/>
          <w:sz w:val="18"/>
          <w:szCs w:val="18"/>
          <w:color w:val="auto"/>
        </w:rPr>
        <w:t>company to delay the adoption of certain accounting standards until those standards would otherwise apply to private companies. Such provisions are only applicable under U.S. GAAP. As a result, we will adopt new or revised accounting standards on the relevant dates on which adoption of such standards is required or permitted by the IASB.</w:t>
      </w:r>
    </w:p>
    <w:p>
      <w:pPr>
        <w:spacing w:after="0" w:line="28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As a “foreign private issuer,” we are exempt from a number of rules under the U.S. securities laws, as well as Nasdaq rules, and we are permitted to file less information with the SEC than are U.S. companies. This may limit the information available to holders of the ADSs and may make our ordinary shares and the ADSs less attractive to investors.</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a foreign private issuer, we will file an annual report on Form 20-F within four months of the close of each fiscal year ending December 31 and reports on Form 6-K relating to certain material events promptly after we publicly announce these events. Additionally, we rely on a provision in the Nasdaq Stock Market’s Listed Company Manual that allows us to follow German company law and European law applicable to European stock corporations in general and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the Council Regulation (EC) No 2157/2001 of October 8, 2001 on the Statute for a European company (SE), or the SE Regulation, and the German Act on the Implementation of Council Regulation (EC) No 2157/2001 of October 8, 2001 on the Statute for a European company (SE) (</w:t>
      </w:r>
      <w:r>
        <w:rPr>
          <w:rFonts w:ascii="Arial" w:cs="Arial" w:eastAsia="Arial" w:hAnsi="Arial"/>
          <w:sz w:val="17"/>
          <w:szCs w:val="17"/>
          <w:i w:val="1"/>
          <w:iCs w:val="1"/>
          <w:color w:val="auto"/>
        </w:rPr>
        <w:t>Gesetz zur Ausführung der Verordnung</w:t>
      </w:r>
      <w:r>
        <w:rPr>
          <w:rFonts w:ascii="Arial" w:cs="Arial" w:eastAsia="Arial" w:hAnsi="Arial"/>
          <w:sz w:val="17"/>
          <w:szCs w:val="17"/>
          <w:color w:val="auto"/>
        </w:rPr>
        <w:t xml:space="preserve"> (EG) NR. 2157/2001 </w:t>
      </w:r>
      <w:r>
        <w:rPr>
          <w:rFonts w:ascii="Arial" w:cs="Arial" w:eastAsia="Arial" w:hAnsi="Arial"/>
          <w:sz w:val="17"/>
          <w:szCs w:val="17"/>
          <w:i w:val="1"/>
          <w:iCs w:val="1"/>
          <w:color w:val="auto"/>
        </w:rPr>
        <w:t>des Rates vom 8. Oktober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2001 über das Statut der Europäischen Gesellschaft </w:t>
      </w:r>
      <w:r>
        <w:rPr>
          <w:rFonts w:ascii="Arial" w:cs="Arial" w:eastAsia="Arial" w:hAnsi="Arial"/>
          <w:sz w:val="17"/>
          <w:szCs w:val="17"/>
          <w:color w:val="auto"/>
        </w:rPr>
        <w:t>(SE)) (SE-</w:t>
      </w:r>
      <w:r>
        <w:rPr>
          <w:rFonts w:ascii="Arial" w:cs="Arial" w:eastAsia="Arial" w:hAnsi="Arial"/>
          <w:sz w:val="17"/>
          <w:szCs w:val="17"/>
          <w:i w:val="1"/>
          <w:iCs w:val="1"/>
          <w:color w:val="auto"/>
        </w:rPr>
        <w:t>Ausführungsgesetz</w:t>
      </w:r>
      <w:r>
        <w:rPr>
          <w:rFonts w:ascii="Arial" w:cs="Arial" w:eastAsia="Arial" w:hAnsi="Arial"/>
          <w:sz w:val="17"/>
          <w:szCs w:val="17"/>
          <w:color w:val="auto"/>
        </w:rPr>
        <w:t>—SEAG), in particular with regard to certain aspects of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This allows us to follow certain corporate governance practices that differ in significant respects from the corporate governance requirements applicable to U.S. companies listed on Nasdaq.</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example, we are exempt from regulations of Nasdaq that require a listed U.S. company to:</w:t>
      </w:r>
    </w:p>
    <w:p>
      <w:pPr>
        <w:spacing w:after="0" w:line="131" w:lineRule="exact"/>
        <w:rPr>
          <w:sz w:val="20"/>
          <w:szCs w:val="20"/>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have a majority of the board of directors consist of independent directors;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non-management directors to meet on a regular basis without management present;</w:t>
      </w:r>
    </w:p>
    <w:p>
      <w:pPr>
        <w:spacing w:after="0" w:line="130"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adopt a code of conduct and promptly disclose any waivers of the code for directors or executive officers that should address certain specified items;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have an independent compensation committee;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have an independent nominating committee;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solicit proxies and provide proxy statements for all shareholder meetings;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a foreign private issuer, we are permitted to follow home country practice in lieu of the above requirements. We therefore intend to continue to follow German corporate governance practices in lieu of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corporate governance requirements of Nasdaq in certain respects. In particular, we intend to follow German corporate governance practices in connection with the distribution of annual and interim reports to shareholders, the application of our code of conduct to our Supervisory Board, proxy solicitation in connection with shareholders’ meetings, and obtaining shareholder approval in connection with the establishment of or material amendment to certain equity-based compensation plans.</w:t>
      </w:r>
    </w:p>
    <w:p>
      <w:pPr>
        <w:spacing w:after="0" w:line="18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accordance with our Nasdaq listing, 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the Nasdaq applicable to listed U.S. companies, including an affirmative determination that all members of the audit committee are “independent,” using more stringent criteria than those applicable to us as a foreign private issuer.</w:t>
      </w:r>
    </w:p>
    <w:p>
      <w:pPr>
        <w:spacing w:after="0" w:line="154"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289"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A significant portion of our total outstanding ordinary shares after this offering will be restricted from immediate resale but may be sold in the near future. The large number of shares eligible for sale or subject to rights requiring us to register them for sale could cause the market price of the ADSs to drop significantly, even if our business is performing well.</w:t>
      </w:r>
    </w:p>
    <w:p>
      <w:pPr>
        <w:spacing w:after="0" w:line="7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Sales of a substantial number of ordinary shares or the ADSs could occur at any time, subject to certain restrictions described below. These sales, or the perception in the market that holders of a large number of shares intend to sell shares, could reduce the market price of the ADSs. Based on the number of our ordinary shares outstanding as of June 30, 2019, we will have 226,262,336 ordinary shares outstanding after this offering (or 227,762,336 ordinary shares if the underwriters exercise their option to purchase additional ADSs in full).</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connection with our initial public offering, we, all of our directors and officers, and substantially all of our shareholders have entered into lock-up agreements with the underwriters and/or are subject to market standoff agreements or other agreements with us under which we and they agreed, subject to specific exceptions, not to sell any of our shares for at least 180 days following the date of our initial public offering. The remaining ordinary shares will be available for sale after this offering since they are not subject to contractual and legal restrictions on resale. Any or all of the shares subject to lock-up agreements may be released prior to the expiration of the lock-up period at the discretion of the lead underwriters for this offering. To the extent shares are released before the expiration of the lock-up period and these shares are sold into the market, the market price of the ADSs could decline.</w:t>
      </w:r>
    </w:p>
    <w:p>
      <w:pPr>
        <w:spacing w:after="0" w:line="18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of 1933, as amended, or the Securities Act, to register all ordinary shares issued or issuable under our equity plans. Any such Form S-8 registration statements will automatically become effective upon filing. Accordingly, shares registered under such registration statements will be available for sale in the open market following the expiration of the applicable lock-up period. See “Shares and ADSs Eligible for Future Sale” appearing elsewhere in this prospectus for a more detailed description of the restrictions on selling shares.</w:t>
      </w:r>
    </w:p>
    <w:p>
      <w:pPr>
        <w:spacing w:after="0" w:line="188"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for you to sell the ADSs.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purchase ADSs in this offering, you will incur immediate and substantial dilution in the book value of your investment.</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You will suffer immediate and substantial dilution in the net tangible book value of the ADSs if you purchase ADSs in this offering. After giving effect to this offering, purchasers of ADSs in this offering will experience immediate dilution in net tangible book value of $12.70 per ADS. In addition, after giving effect to this offering, investors purchasing ADSs in this offering will contribute 14.7% of the total amount invested by shareholders since inception but will only own 4.4% of the ordinary shares outstanding. See “Dilution” for a more detailed description of the dilution to new investors in the offering.</w:t>
      </w:r>
    </w:p>
    <w:p>
      <w:pPr>
        <w:spacing w:after="0" w:line="29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Holders of the ADSs are not treated as shareholders of our company and will not have the same voting rights as our shareholders, which may affect the value of the ADSs.</w:t>
      </w:r>
    </w:p>
    <w:p>
      <w:pPr>
        <w:spacing w:after="0" w:line="6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By participating in this offering, you will become a holder of ADSs with underlying ordinary shares in a European stock corporation (</w:t>
      </w:r>
      <w:r>
        <w:rPr>
          <w:rFonts w:ascii="Arial" w:cs="Arial" w:eastAsia="Arial" w:hAnsi="Arial"/>
          <w:sz w:val="17"/>
          <w:szCs w:val="17"/>
          <w:i w:val="1"/>
          <w:iCs w:val="1"/>
          <w:color w:val="auto"/>
        </w:rPr>
        <w:t>Societas</w:t>
      </w:r>
      <w:r>
        <w:rPr>
          <w:rFonts w:ascii="Arial" w:cs="Arial" w:eastAsia="Arial" w:hAnsi="Arial"/>
          <w:sz w:val="17"/>
          <w:szCs w:val="17"/>
          <w:color w:val="auto"/>
        </w:rPr>
        <w:t xml:space="preserve"> </w:t>
      </w:r>
      <w:r>
        <w:rPr>
          <w:rFonts w:ascii="Arial" w:cs="Arial" w:eastAsia="Arial" w:hAnsi="Arial"/>
          <w:sz w:val="17"/>
          <w:szCs w:val="17"/>
          <w:i w:val="1"/>
          <w:iCs w:val="1"/>
          <w:color w:val="auto"/>
        </w:rPr>
        <w:t>Europaea</w:t>
      </w:r>
      <w:r>
        <w:rPr>
          <w:rFonts w:ascii="Arial" w:cs="Arial" w:eastAsia="Arial" w:hAnsi="Arial"/>
          <w:sz w:val="17"/>
          <w:szCs w:val="17"/>
          <w:color w:val="auto"/>
        </w:rPr>
        <w:t>). Holders of ADSs are not treated as our shareholders unless they withdraw the ordinary shares underlying the ADSs from the depositary,</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the holder of the ordinary shares underlying the ADSs. Holders of ADSs, therefore, do not have any rights as shareholders of our company, other than the rights that they have pursuant to the deposit agreement. As such, holders of ADSs will not be able to directly vote underlying ordinary shares. Holders of ADSs may instruct the depositary how to vote the ordinary shares underlying their ADSs. If we ask it to, the depositary will send out information about shareholder meetings and solicit voting instructions and will try to carry out voting instructions it receives. However, we are not required to instruct the depositary to take action with respect to shareholder meetings. If we do not do so, holders of the ADSs can still send voting instructions to the depositary, and the depositary may try to carry out those instructions, but it is not required to do so. Holders of the ADSs may not become aware of shareholder meetings if the depositary does not send out information. Even if the depositary does solicit voting instructions, holders of ADSs may not receive the information in time. As a result of these factors, holders of ADSs may not be able to effectively exercise voting rights that they would have if they held our ordinary shares directly.</w:t>
      </w:r>
    </w:p>
    <w:p>
      <w:pPr>
        <w:spacing w:after="0" w:line="29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If we sell our ordinary shares or ADSs in future financings, holders of ADSs may experience immediate dilution and, as a result, the price of the ADSs may decline.</w:t>
      </w:r>
    </w:p>
    <w:p>
      <w:pPr>
        <w:spacing w:after="0" w:line="6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may from time to time issue additional ordinary shares or ADSs at a discount from the current trading price of our ordinary shares or ADSs. As a result, holders of ADSs would experience further immediate dilution upon the purchase of any ordinary shares or ADSs sold at such discount. In addition, as opportunities present themselves, we may enter into financing or similar arrangements in the future, including the issuance of debt securities, ordinary shares or ADSs. If we issue ordinary shares or securities convertible or exchangeable into ordinary shares, such as ADSs, holders of the ADSs would experience additional dilution and, as a result, the price of the ADSs may decline.</w:t>
      </w:r>
    </w:p>
    <w:p>
      <w:pPr>
        <w:spacing w:after="0" w:line="281" w:lineRule="exact"/>
        <w:rPr>
          <w:sz w:val="20"/>
          <w:szCs w:val="20"/>
          <w:color w:val="auto"/>
        </w:rPr>
      </w:pPr>
    </w:p>
    <w:p>
      <w:pPr>
        <w:ind w:left="200" w:right="7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collaborations and licensing arrangements. To the extent that we raise additional capital through the sale of equity securities, including securities convertible or exchangeable into ordinary shares, your ownership interest will be diluted and the terms may include liquidation or other preferences that adversely affect your rights as a holder of ADSs.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collaborations and licensing arrangements with third parties or through asset sales, we may have to relinquish valuable rights to our technologies or product candidates, or grant licenses on terms unfavorable to us.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6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Under German law, the existing shareholders of a company generally have a preemptive right to subscribe for shares offered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15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Certain non-German shareholders may not be able to exercise their preemptive subscription rights in our future offerings due to the legislation and regulations of their home country. For example, ADS holders in the United States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holders of ADSs may suffer adverse tax consequences if we are characterized as a passive foreign investment company.</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more than 25% (by value) of the stock. Based on certain estimates of our gross income and gross assets, the latter determined by reference to the expected value of the ADSs and our ordinary shares, we believe that we will not be classified as a PFIC for the taxable year ending December 31, 2019 and we do not expect to be treated as a PFIC in any future taxable year.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 If we were to be or become a PFIC for any taxable year during which a U.S. holder (defined below in “Taxation—Material United States Federal Income Tax Considerations”) holds ADSs, certain adverse U.S. federal income tax consequences could apply to such U.S. holder. See “Taxation—Material United States Federal Income Tax Considerations—Passive Foreign Investment Company Considerations.”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interpretation of the treatment of ADSs by the German tax authorities is subject to change.</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specific treatment of ADSs under German tax law is based on administrative provisions by the fiscal authorities, which are not codified law and are subject to change. Tax authorities may modify their interpretation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and the current treatment of ADSs may change. According to the circular issued by the German Federal Ministry of Finance (</w:t>
      </w:r>
      <w:r>
        <w:rPr>
          <w:rFonts w:ascii="Arial" w:cs="Arial" w:eastAsia="Arial" w:hAnsi="Arial"/>
          <w:sz w:val="18"/>
          <w:szCs w:val="18"/>
          <w:i w:val="1"/>
          <w:iCs w:val="1"/>
          <w:color w:val="auto"/>
        </w:rPr>
        <w:t>BMF-Schreiben</w:t>
      </w:r>
      <w:r>
        <w:rPr>
          <w:rFonts w:ascii="Arial" w:cs="Arial" w:eastAsia="Arial" w:hAnsi="Arial"/>
          <w:sz w:val="18"/>
          <w:szCs w:val="18"/>
          <w:color w:val="auto"/>
        </w:rPr>
        <w:t>), dated May 21, 2019, (reference number IV C 1 – S 1980-1/16/10010 :001, ADSs are not treated as capital participation (</w:t>
      </w:r>
      <w:r>
        <w:rPr>
          <w:rFonts w:ascii="Arial" w:cs="Arial" w:eastAsia="Arial" w:hAnsi="Arial"/>
          <w:sz w:val="18"/>
          <w:szCs w:val="18"/>
          <w:i w:val="1"/>
          <w:iCs w:val="1"/>
          <w:color w:val="auto"/>
        </w:rPr>
        <w:t>Kapitalbeteiligung</w:t>
      </w:r>
      <w:r>
        <w:rPr>
          <w:rFonts w:ascii="Arial" w:cs="Arial" w:eastAsia="Arial" w:hAnsi="Arial"/>
          <w:sz w:val="18"/>
          <w:szCs w:val="18"/>
          <w:color w:val="auto"/>
        </w:rPr>
        <w:t>) within the meaning of Section 2 Para. 8 of the Investment Tax Code (</w:t>
      </w:r>
      <w:r>
        <w:rPr>
          <w:rFonts w:ascii="Arial" w:cs="Arial" w:eastAsia="Arial" w:hAnsi="Arial"/>
          <w:sz w:val="18"/>
          <w:szCs w:val="18"/>
          <w:i w:val="1"/>
          <w:iCs w:val="1"/>
          <w:color w:val="auto"/>
        </w:rPr>
        <w:t>Investmentsteuergesetz</w:t>
      </w:r>
      <w:r>
        <w:rPr>
          <w:rFonts w:ascii="Arial" w:cs="Arial" w:eastAsia="Arial" w:hAnsi="Arial"/>
          <w:sz w:val="18"/>
          <w:szCs w:val="18"/>
          <w:color w:val="auto"/>
        </w:rPr>
        <w:t>). Such interpretation by the fiscal authorities may have adverse effects on the taxation of investors.</w:t>
      </w:r>
    </w:p>
    <w:p>
      <w:pPr>
        <w:spacing w:after="0" w:line="29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U.S. investors may have difficulty enforcing civil liabilities against our company and members of our Supervisory Board and Management Board and the experts named in this prospectus.</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are incorporated under the laws of Germany as a European stock corporation (</w:t>
      </w:r>
      <w:r>
        <w:rPr>
          <w:rFonts w:ascii="Arial" w:cs="Arial" w:eastAsia="Arial" w:hAnsi="Arial"/>
          <w:sz w:val="16"/>
          <w:szCs w:val="16"/>
          <w:i w:val="1"/>
          <w:iCs w:val="1"/>
          <w:color w:val="auto"/>
        </w:rPr>
        <w:t>Societas Europaea</w:t>
      </w:r>
      <w:r>
        <w:rPr>
          <w:rFonts w:ascii="Arial" w:cs="Arial" w:eastAsia="Arial" w:hAnsi="Arial"/>
          <w:sz w:val="16"/>
          <w:szCs w:val="16"/>
          <w:color w:val="auto"/>
        </w:rPr>
        <w:t>) pursuant to the SE Regulation. The majority of our assets are located outside the United States and all of the members of our Management Board and Supervisory Board reside outside of the United States. As a result, it may not be possible for investors to effect service of process within the United States upon such persons or to enforce against them or us in U.S. courts’ judgments predicated upon the civil liability provisions of the federal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There is currently no treaty between the United States and Germany providing for reciprocal recognition and enforceability of judgments rendered in connection with civil and commercial disputes and, accordingly, a final judgment rendered by a U.S. court based on civil liability would, except where explicitly ruled enforceable by a competent German court, not be enforceable in Germany as such. However, a U.S. court’s judgment may carry evidentiary value in any proceedings for civil liability brought in the German courts. Litigation in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or any members of our Management or Supervisory Boards.</w:t>
      </w:r>
    </w:p>
    <w:p>
      <w:pPr>
        <w:spacing w:after="0" w:line="16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German and other non-U.S. courts may refuse to hear a U.S. securities law claim because such courts may not be the most appropriate forums in which to bring such a claim. Even if a non-U.S. court agrees to hear a claim, it may determine that the law of the jurisdiction in which the court resides, and not U.S. law, is applicable to the claim. Further, if U.S. law is found to be applicable, the content of applicable U.S. law must be proved as fact, which can be a time-consuming and costly process, and certain matters of procedure would still be governed by the law of the jurisdiction in which the foreign court resides.</w:t>
      </w:r>
    </w:p>
    <w:p>
      <w:pPr>
        <w:spacing w:after="0" w:line="296"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The rights of shareholders in a stock corporation subject to German law differ in material respects from the rights of shareholders of corporations incorporated in the United States.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are a European stock corporation (</w:t>
      </w:r>
      <w:r>
        <w:rPr>
          <w:rFonts w:ascii="Arial" w:cs="Arial" w:eastAsia="Arial" w:hAnsi="Arial"/>
          <w:sz w:val="17"/>
          <w:szCs w:val="17"/>
          <w:i w:val="1"/>
          <w:iCs w:val="1"/>
          <w:color w:val="auto"/>
        </w:rPr>
        <w:t>Societas Europaea</w:t>
      </w:r>
      <w:r>
        <w:rPr>
          <w:rFonts w:ascii="Arial" w:cs="Arial" w:eastAsia="Arial" w:hAnsi="Arial"/>
          <w:sz w:val="17"/>
          <w:szCs w:val="17"/>
          <w:color w:val="auto"/>
        </w:rPr>
        <w:t>) with our registered office in Germany. Our corporate affairs are governed by the laws governing stock corporations and European stock corporations incorporated in Germany, the SE Regulation and our articles of association. The rights of shareholders may be different from the rights and obligations of shareholders in companies governed by the laws of U.S. jurisdictions. Among other differences in shareholder rights, under German law, certain important resolutions, including, for example, capital decreases, measures under the German Transformation Act (</w:t>
      </w:r>
      <w:r>
        <w:rPr>
          <w:rFonts w:ascii="Arial" w:cs="Arial" w:eastAsia="Arial" w:hAnsi="Arial"/>
          <w:sz w:val="17"/>
          <w:szCs w:val="17"/>
          <w:i w:val="1"/>
          <w:iCs w:val="1"/>
          <w:color w:val="auto"/>
        </w:rPr>
        <w:t>Umwandlungsgesetz</w:t>
      </w:r>
      <w:r>
        <w:rPr>
          <w:rFonts w:ascii="Arial" w:cs="Arial" w:eastAsia="Arial" w:hAnsi="Arial"/>
          <w:sz w:val="17"/>
          <w:szCs w:val="17"/>
          <w:color w:val="auto"/>
        </w:rPr>
        <w:t>), such as mergers, conversions and spin-offs and the dissolution of the German stock corporation apart from insolvency and certain other proceedings, require the vote of a 75% majority of the capital present or represented at the relevant shareholders’ meeting. Therefore, the holder or holders of a blocking minority of more than 25% or, depending on the attendance level at the shareholders’ meeting, the holder or holders of a smaller percentage of</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shares in a German stock corporation may be able to block any such votes, possibly to our detriment or the detriment of other shareholders.</w:t>
      </w:r>
    </w:p>
    <w:p>
      <w:pPr>
        <w:spacing w:after="0" w:line="23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a general rule under German law, in the case of a two-tier European stock corporation a shareholder has no direct recourse against the members of the management board and the supervisory board, in the event that it is alleged that they have breached their duty of loyalty or duty of care to the corporation. Apart from insolvency or other special circumstances, only the European stock corporation itself has the right to claim damages from members of the management and supervisory boards. A European stock corporation may waive or settle these damages claims only if at least three years have passed and the shareholders approve the waiver or settlement at the shareholders’ meeting with a simple majority of the votes cast, provided that a minority holding, in the aggregate, 10% or more of the European stock corporation’s share capital does not have its opposition formally noted in the minutes maintained by a German civil law notary.</w:t>
      </w:r>
    </w:p>
    <w:p>
      <w:pPr>
        <w:spacing w:after="0" w:line="178"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In addition, the responsibilities of members of our Management Board and Supervisory Board may differ from the duties of directors of U.S. corporations. For example, in the performance of their duties, our Management Board and Supervisory Board may take into account a broad range of considerations, including our interests, the interests of our shareholders, employees, creditors and, to a limited extent, the general public. It is possible that some of these parties will have interests that are different from, or in addition to, your interests as a holder of ADSs.</w:t>
      </w:r>
    </w:p>
    <w:p>
      <w:pPr>
        <w:spacing w:after="0" w:line="154"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For more information, we have provided summaries of relevant German corporation law and of our articles of association under “Management” and “Description of Share Capital and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trading market for the ADSs may not develop.</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Prior to this offering, there has been no public market for ADSs representing our ordinary shares. The initial public offering price for the ADSs was determined through negotiations with the underwriters. Although our ADSs are listed on the Nasdaq Global Select Market, an active trading market for the ADSs may never develop or be sustained following this offering. If an active market for the ADSs does not develop, it may be difficult for you to sell ADSs you purchase in this offering without depressing the market price for the ADSs, or at all.</w:t>
      </w:r>
    </w:p>
    <w:p>
      <w:pPr>
        <w:spacing w:after="0" w:line="29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the ADSs, the price of the ADSs could decline.</w:t>
      </w:r>
    </w:p>
    <w:p>
      <w:pPr>
        <w:spacing w:after="0" w:line="62"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trading market for the ADSs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the ADSs would likely decrease. Even if we do obtain analyst coverage, if one or more of the analysts covering our business downgrade their evaluations of the ADSs, the price of the ADSs could decline. If one or more of these analysts cease to cover the ADSs, we could lose visibility in the market for the ADSs, which in turn could cause price of the ADSs to decline.</w:t>
      </w:r>
    </w:p>
    <w:p>
      <w:pPr>
        <w:spacing w:after="0" w:line="28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Our executive officers, directors, five percent shareholders, and their affiliates beneficially own approximately 84.78% of our ordinary shares and, upon closing of this offering, assuming no exercise of the underwriters’ option to purchase additional ADSs from us, that same group will beneficially own approximately 83.44% of our outstanding ordinary shares. Therefore, even after this offering, these shareholders will have the ability to influence us through their ownership positions. For example, these shareholders, acting together, may be able to exert significant influence over matters such as elections of directors, amendments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our organizational documents, or approval of any merger, sale of assets or other major corporate transaction. This may prevent or discourage unsolicited acquisition proposals or offers for our ordinary shares that you may believe are in your best interest as one of our shareholders.</w:t>
      </w:r>
    </w:p>
    <w:p>
      <w:pPr>
        <w:spacing w:after="0" w:line="255"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including the net proceeds from this offering, and we may not use them effectively.</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management will have broad discretion in the application of our cash, cash equivalents and investments, including the net proceeds from this offering, and could spend the proceeds in ways that do not improve our results of operations or enhance the value of our ordinary shares. The failure by our management to apply these funds effectively could result in financial losses that could have a material adverse impact on our business, cause the price of the ADSs to decline, and delay the development of our product candidates. Pending their use, we may invest our cash, cash equivalents and investments, including the net proceeds from this offering, in a manner that does not produce income or that loses value. See “Use of Proceeds” for more information.</w:t>
      </w:r>
    </w:p>
    <w:p>
      <w:pPr>
        <w:spacing w:after="0" w:line="301" w:lineRule="exact"/>
        <w:rPr>
          <w:sz w:val="20"/>
          <w:szCs w:val="20"/>
          <w:color w:val="auto"/>
        </w:rPr>
      </w:pPr>
    </w:p>
    <w:p>
      <w:pPr>
        <w:ind w:left="200" w:right="1000"/>
        <w:spacing w:after="0" w:line="277" w:lineRule="auto"/>
        <w:rPr>
          <w:sz w:val="20"/>
          <w:szCs w:val="20"/>
          <w:color w:val="auto"/>
        </w:rPr>
      </w:pPr>
      <w:r>
        <w:rPr>
          <w:rFonts w:ascii="Arial" w:cs="Arial" w:eastAsia="Arial" w:hAnsi="Arial"/>
          <w:sz w:val="18"/>
          <w:szCs w:val="18"/>
          <w:b w:val="1"/>
          <w:bCs w:val="1"/>
          <w:i w:val="1"/>
          <w:iCs w:val="1"/>
          <w:color w:val="auto"/>
        </w:rPr>
        <w:t>Because we do not currently pay cash dividends on our ordinary shares and do not anticipate doing so in the foreseeable future, capital appreciation, if any, will be the sole source of gain on investments in the ADSs.</w:t>
      </w:r>
    </w:p>
    <w:p>
      <w:pPr>
        <w:spacing w:after="0" w:line="62"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There is no plan to declare or pay cash dividends on our ordinary shares. The intention is to retain all future earnings, if any, to finance the growth and development of the business. Additionally, the terms of any future debt agreements may preclude dividend payments. Our ability to pay dividends is also limited under the terms of the investment agreement we have entered into with BMGF. As a result, capital appreciation, if any, on the ADSs will be the sole source of gain for the foreseeable future.</w:t>
      </w:r>
    </w:p>
    <w:p>
      <w:pPr>
        <w:spacing w:after="0" w:line="295"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62"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As a German tax resident company, if we were to pay dividends, such dividends will be subject to German withholding tax. Currently, the applicable German withholding tax rate is 26.375% of the gross dividend. This German tax can be reduced to the applicable U.S.-Germany income tax treaty, or Treaty, rate, which is generally 15%, if the applicable taxpayer is eligible for such Treaty rate and files an application containing a specific German tax certificate with the German Federal Central Tax Office (</w:t>
      </w:r>
      <w:r>
        <w:rPr>
          <w:rFonts w:ascii="Arial" w:cs="Arial" w:eastAsia="Arial" w:hAnsi="Arial"/>
          <w:sz w:val="17"/>
          <w:szCs w:val="17"/>
          <w:i w:val="1"/>
          <w:iCs w:val="1"/>
          <w:color w:val="auto"/>
        </w:rPr>
        <w:t>Bundeszentralamt für Steuern</w:t>
      </w:r>
      <w:r>
        <w:rPr>
          <w:rFonts w:ascii="Arial" w:cs="Arial" w:eastAsia="Arial" w:hAnsi="Arial"/>
          <w:sz w:val="17"/>
          <w:szCs w:val="17"/>
          <w:color w:val="auto"/>
        </w:rPr>
        <w:t>). If such a tax certificate cannot be delivered to the ADS holder due to applicable settlement mechanics or lack of information regarding the 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7"/>
          <w:szCs w:val="17"/>
          <w:i w:val="1"/>
          <w:iCs w:val="1"/>
          <w:color w:val="auto"/>
        </w:rPr>
        <w:t>Besteuerung von American Depositary Receipts (ADR) auf</w:t>
      </w:r>
      <w:r>
        <w:rPr>
          <w:rFonts w:ascii="Arial" w:cs="Arial" w:eastAsia="Arial" w:hAnsi="Arial"/>
          <w:sz w:val="17"/>
          <w:szCs w:val="17"/>
          <w:color w:val="auto"/>
        </w:rPr>
        <w:t xml:space="preserve"> </w:t>
      </w:r>
      <w:r>
        <w:rPr>
          <w:rFonts w:ascii="Arial" w:cs="Arial" w:eastAsia="Arial" w:hAnsi="Arial"/>
          <w:sz w:val="17"/>
          <w:szCs w:val="17"/>
          <w:i w:val="1"/>
          <w:iCs w:val="1"/>
          <w:color w:val="auto"/>
        </w:rPr>
        <w:t>inländische Aktien</w:t>
      </w:r>
      <w:r>
        <w:rPr>
          <w:rFonts w:ascii="Arial" w:cs="Arial" w:eastAsia="Arial" w:hAnsi="Arial"/>
          <w:sz w:val="17"/>
          <w:szCs w:val="17"/>
          <w:color w:val="auto"/>
        </w:rPr>
        <w:t>) issued by the German Federal Ministry of Finance</w:t>
      </w:r>
      <w:r>
        <w:rPr>
          <w:rFonts w:ascii="Arial" w:cs="Arial" w:eastAsia="Arial" w:hAnsi="Arial"/>
          <w:sz w:val="17"/>
          <w:szCs w:val="17"/>
          <w:i w:val="1"/>
          <w:iCs w:val="1"/>
          <w:color w:val="auto"/>
        </w:rPr>
        <w:t xml:space="preserve"> (Bundesministerium der Finanzen</w:t>
      </w:r>
      <w:r>
        <w:rPr>
          <w:rFonts w:ascii="Arial" w:cs="Arial" w:eastAsia="Arial" w:hAnsi="Arial"/>
          <w:sz w:val="17"/>
          <w:szCs w:val="17"/>
          <w:color w:val="auto"/>
        </w:rPr>
        <w:t>), dated May 24, 2013 (reference number IV C</w:t>
      </w:r>
      <w:r>
        <w:rPr>
          <w:rFonts w:ascii="Arial" w:cs="Arial" w:eastAsia="Arial" w:hAnsi="Arial"/>
          <w:sz w:val="17"/>
          <w:szCs w:val="17"/>
          <w:i w:val="1"/>
          <w:iCs w:val="1"/>
          <w:color w:val="auto"/>
        </w:rPr>
        <w:t xml:space="preserve"> </w:t>
      </w:r>
      <w:r>
        <w:rPr>
          <w:rFonts w:ascii="Arial" w:cs="Arial" w:eastAsia="Arial" w:hAnsi="Arial"/>
          <w:sz w:val="17"/>
          <w:szCs w:val="17"/>
          <w:color w:val="auto"/>
        </w:rPr>
        <w:t>1-S2204/12/10003), as amended by the circular dated December 18, 2018 (reference number IV C 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62"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8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9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58"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w:t>
      </w:r>
    </w:p>
    <w:p>
      <w:pPr>
        <w:spacing w:after="0" w:line="170"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Many of the forward-looking statements contained in this prospectus can be identified by the use of forward-looking words such as “anticipate,” “believe,” “could,” “estimate,” “expect,” “intend,” “may,” “might,” “plan,” “potential,” “should,” “target,” “would” and other similar expressions that are predictions of or indicate future events and future trends, although not all forward-looking statements contain these identifying words.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a variety of factors, including, but not limited to, those identified in the section titled “Risk Factors” in this prospectus. These risks and uncertainties include factors relating to:</w:t>
      </w:r>
    </w:p>
    <w:p>
      <w:pPr>
        <w:spacing w:after="0" w:line="92" w:lineRule="exact"/>
        <w:rPr>
          <w:sz w:val="20"/>
          <w:szCs w:val="20"/>
          <w:color w:val="auto"/>
        </w:rPr>
      </w:pPr>
    </w:p>
    <w:p>
      <w:pPr>
        <w:ind w:left="1180" w:right="140" w:hanging="436"/>
        <w:spacing w:after="0" w:line="312" w:lineRule="auto"/>
        <w:tabs>
          <w:tab w:leader="none" w:pos="11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2" w:lineRule="exact"/>
        <w:rPr>
          <w:rFonts w:ascii="Arial" w:cs="Arial" w:eastAsia="Arial" w:hAnsi="Arial"/>
          <w:sz w:val="16"/>
          <w:szCs w:val="16"/>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identify research opportunities and discover and develop investigational medicines;</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development candidates and investigational medicines;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 and our needs for or ability to obtain additional financing;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identify, recruit and retain key personnel;</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and our collaborators’ ability to protect and enforce our intellectual property protection for our proprietary and collaborative product candidates, and the scope of such protection;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development of and projections relating to our competitors or our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pricing and reimbursement of our investigational medicines, if approved;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rate and degree of market acceptance of our investigational medicines;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amount of and our ability to use net operating losses and research and development credits to offset future taxable income;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manage our development and expansion;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with advantages in turnaround times or manufacturing cost;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use of the proceeds from this offering;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6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 a foreign private issuer.</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contained in this prospectus speak only as of the date of this prospectus, and unless otherwise required by law,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240" w:top="459" w:right="5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estimate that the net proceeds to us from this offering will be approximately $137.1 million (€123.8 million) (or approximately $158.3 million (€143.0 million) if the underwriters exercise in full their options to purchase an additional 1,500,000 ADSs), and after deducting underwriting discounts and commissions and estimated offering expenses payable by 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currently intend to use the net proceeds from this offering as follows:</w:t>
      </w:r>
    </w:p>
    <w:p>
      <w:pPr>
        <w:spacing w:after="0" w:line="131" w:lineRule="exact"/>
        <w:rPr>
          <w:sz w:val="20"/>
          <w:szCs w:val="20"/>
          <w:color w:val="auto"/>
        </w:rPr>
      </w:pPr>
    </w:p>
    <w:p>
      <w:pPr>
        <w:ind w:left="1180" w:right="140" w:hanging="436"/>
        <w:spacing w:after="0" w:line="302" w:lineRule="auto"/>
        <w:tabs>
          <w:tab w:leader="none" w:pos="1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approximately $100 million to complete our ongoing and currently planned clinical trials for our FixVac product candidates BNT111, BNT113 and BNT114, as well as to fund our portion of the research and development expenses for each of the following: RO7198457 (BNT122), which is being developed in collaboration with Genentech, SAR441000 (BNT131), which is being developed in collaboration with Sanofi, and GEN1046 (BNT311) and GEN1042 (BNT312), which are being developed in collaboration with Genmab;</w:t>
      </w:r>
    </w:p>
    <w:p>
      <w:pPr>
        <w:spacing w:after="0" w:line="59" w:lineRule="exact"/>
        <w:rPr>
          <w:rFonts w:ascii="Arial" w:cs="Arial" w:eastAsia="Arial" w:hAnsi="Arial"/>
          <w:sz w:val="16"/>
          <w:szCs w:val="16"/>
          <w:color w:val="auto"/>
        </w:rPr>
      </w:pPr>
    </w:p>
    <w:p>
      <w:pPr>
        <w:ind w:left="1180" w:right="100" w:hanging="436"/>
        <w:spacing w:after="0" w:line="264"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$30 million to advance additional product candidates through Phase 1 clinical trials, including product candidates from our CAR T, RiboMabs, RiboCytokines and TCR platforms in oncology, and our infectious disease immunotherapy and rare disease protein replacement therapy platforms outside oncology;</w:t>
      </w:r>
    </w:p>
    <w:p>
      <w:pPr>
        <w:spacing w:after="0" w:line="86"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$4 million to advance additional preclinical product candidates, develop additional product candidates leveraging our current therapeutic platforms and fund the further development of our core technologies; and</w:t>
      </w:r>
    </w:p>
    <w:p>
      <w:pPr>
        <w:spacing w:after="0" w:line="75"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$3 million to fund the further expansion of our manufacturing and laboratory capacity and the continued development of our infrastructure.</w:t>
      </w:r>
    </w:p>
    <w:p>
      <w:pPr>
        <w:spacing w:after="0" w:line="17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We expect to use the remainder of any net proceeds from this offering, as well as our existing cash and cash equivalents, for general corporate purposes. We may also use a portion of the net proceeds to in-license or acquire or invest in complementary technologies, products, businesses or assets, either alone or together with a collaborator. However, we have no current plans, commitments or obligations to do so.</w:t>
      </w:r>
    </w:p>
    <w:p>
      <w:pPr>
        <w:spacing w:after="0" w:line="166"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Our expected use of net proceeds from this offering represents our current intentions based on our present plans and business condition, which could change as our plans and business conditions evolve. The amounts and timing of our actual use of net proceeds will vary depending on numerous factors, including the progress of our clinical development of our product candidates, including our ongoing clinical trials. As a result, we cannot predict with certainty all of the particular uses for the net proceeds to be received upon the closing of this offering or the amounts that we will actually spend on the uses set forth above. Our management will have broad discretion in the application of the net proceeds from this offering.</w:t>
      </w:r>
    </w:p>
    <w:p>
      <w:pPr>
        <w:spacing w:after="0" w:line="15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expect that we will need to raise significant additional funds beyond this offering in order to continue to advance our pipeline. In particular, we will need additional funds in order to advance our product candidates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through Phase 3 clinical trials and to potential commercialization. We may seek to raise capital through public or private equity or debt financing, government or other third-party grants or funding, sales of assets, marketing and distribution arrangements, other collaborations or a combination of these approaches.</w:t>
      </w:r>
    </w:p>
    <w:p>
      <w:pPr>
        <w:spacing w:after="0" w:line="181" w:lineRule="exact"/>
        <w:rPr>
          <w:sz w:val="20"/>
          <w:szCs w:val="20"/>
          <w:color w:val="auto"/>
        </w:rPr>
      </w:pPr>
    </w:p>
    <w:p>
      <w:pPr>
        <w:jc w:val="both"/>
        <w:ind w:left="200" w:right="400" w:firstLine="441"/>
        <w:spacing w:after="0" w:line="312" w:lineRule="auto"/>
        <w:rPr>
          <w:sz w:val="20"/>
          <w:szCs w:val="20"/>
          <w:color w:val="auto"/>
        </w:rPr>
      </w:pPr>
      <w:r>
        <w:rPr>
          <w:rFonts w:ascii="Arial" w:cs="Arial" w:eastAsia="Arial" w:hAnsi="Arial"/>
          <w:sz w:val="16"/>
          <w:szCs w:val="16"/>
          <w:color w:val="auto"/>
        </w:rPr>
        <w:t>Based on our planned use of the net proceeds of this offering and our existing cash and cash equivalents, we estimate that such funds will be sufficient to enable us to fund our operating expenses and capital expenditure requirements through at least the next 24 months. We have based this estimate on assumptions that may prove to be incorrect, and we could use our available capital resources sooner than we currently expect.</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Pending our use of the net proceeds from this offering, we plan to invest the net proceeds in short- and intermediate-term interest-bearing financial instruments.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In addition, our ability to pay cash dividends is also limited in certain circumstances under the terms of an agreement we have entered into with BMGF. All of the shares represented by the ADSs offered by this prospectus will generally have the same dividend rights as all of our other outstanding shares.</w:t>
      </w:r>
    </w:p>
    <w:p>
      <w:pPr>
        <w:spacing w:after="0" w:line="154"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Under German law, we may pay dividends only from the distributable profit (</w:t>
      </w:r>
      <w:r>
        <w:rPr>
          <w:rFonts w:ascii="Arial" w:cs="Arial" w:eastAsia="Arial" w:hAnsi="Arial"/>
          <w:sz w:val="16"/>
          <w:szCs w:val="16"/>
          <w:i w:val="1"/>
          <w:iCs w:val="1"/>
          <w:color w:val="auto"/>
        </w:rPr>
        <w:t>Bilanzgewinn</w:t>
      </w:r>
      <w:r>
        <w:rPr>
          <w:rFonts w:ascii="Arial" w:cs="Arial" w:eastAsia="Arial" w:hAnsi="Arial"/>
          <w:sz w:val="16"/>
          <w:szCs w:val="16"/>
          <w:color w:val="auto"/>
        </w:rPr>
        <w:t>) reflected in our unconsolidated financial statements (as opposed to the consolidated financial statements for us and our subsidiaries) prepared in accordance with the principles set forth in the German 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and adopted by our management board (</w:t>
      </w:r>
      <w:r>
        <w:rPr>
          <w:rFonts w:ascii="Arial" w:cs="Arial" w:eastAsia="Arial" w:hAnsi="Arial"/>
          <w:sz w:val="16"/>
          <w:szCs w:val="16"/>
          <w:i w:val="1"/>
          <w:iCs w:val="1"/>
          <w:color w:val="auto"/>
        </w:rPr>
        <w:t>Vorstand</w:t>
      </w:r>
      <w:r>
        <w:rPr>
          <w:rFonts w:ascii="Arial" w:cs="Arial" w:eastAsia="Arial" w:hAnsi="Arial"/>
          <w:sz w:val="16"/>
          <w:szCs w:val="16"/>
          <w:color w:val="auto"/>
        </w:rPr>
        <w:t>) and the supervisory board (</w:t>
      </w:r>
      <w:r>
        <w:rPr>
          <w:rFonts w:ascii="Arial" w:cs="Arial" w:eastAsia="Arial" w:hAnsi="Arial"/>
          <w:sz w:val="16"/>
          <w:szCs w:val="16"/>
          <w:i w:val="1"/>
          <w:iCs w:val="1"/>
          <w:color w:val="auto"/>
        </w:rPr>
        <w:t>Aufsichtsrat</w:t>
      </w:r>
      <w:r>
        <w:rPr>
          <w:rFonts w:ascii="Arial" w:cs="Arial" w:eastAsia="Arial" w:hAnsi="Arial"/>
          <w:sz w:val="16"/>
          <w:szCs w:val="16"/>
          <w:color w:val="auto"/>
        </w:rPr>
        <w:t>), or, as the case may be, by our shareholders in a shareholders’ meeting. See “Description of Share Capital and Articles of Association (</w:t>
      </w:r>
      <w:r>
        <w:rPr>
          <w:rFonts w:ascii="Arial" w:cs="Arial" w:eastAsia="Arial" w:hAnsi="Arial"/>
          <w:sz w:val="16"/>
          <w:szCs w:val="16"/>
          <w:i w:val="1"/>
          <w:iCs w:val="1"/>
          <w:color w:val="auto"/>
        </w:rPr>
        <w:t>Satzung</w:t>
      </w:r>
      <w:r>
        <w:rPr>
          <w:rFonts w:ascii="Arial" w:cs="Arial" w:eastAsia="Arial" w:hAnsi="Arial"/>
          <w:sz w:val="16"/>
          <w:szCs w:val="16"/>
          <w:color w:val="auto"/>
        </w:rPr>
        <w:t>),” which explains in more detail the procedures we must follow and the German law provisions that determine whether we are entitled to declare a dividend.</w:t>
      </w:r>
    </w:p>
    <w:p>
      <w:pPr>
        <w:spacing w:after="0" w:line="9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240" w:top="459" w:right="5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sets forth our cash and cash equivalents and our total capitalization as of June 30, 2019:</w:t>
      </w:r>
    </w:p>
    <w:p>
      <w:pPr>
        <w:spacing w:after="0" w:line="131" w:lineRule="exact"/>
        <w:rPr>
          <w:sz w:val="20"/>
          <w:szCs w:val="20"/>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180" w:right="60" w:hanging="436"/>
        <w:spacing w:after="0" w:line="279" w:lineRule="auto"/>
        <w:tabs>
          <w:tab w:leader="none" w:pos="1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a pro forma basis to give effect to (x) the receipt of proceeds of €190.2 million</w:t>
      </w:r>
      <w:r>
        <w:rPr>
          <w:rFonts w:ascii="Arial" w:cs="Arial" w:eastAsia="Arial" w:hAnsi="Arial"/>
          <w:sz w:val="14"/>
          <w:szCs w:val="14"/>
          <w:color w:val="auto"/>
        </w:rPr>
        <w:t>(1)</w:t>
      </w:r>
      <w:r>
        <w:rPr>
          <w:rFonts w:ascii="Arial" w:cs="Arial" w:eastAsia="Arial" w:hAnsi="Arial"/>
          <w:sz w:val="17"/>
          <w:szCs w:val="17"/>
          <w:color w:val="auto"/>
        </w:rPr>
        <w:t xml:space="preserve"> relating to 11,990,214 ordinary shares issued before June 30, 2019 under our Series B private placement, (y) the issuance of 475,074 of our ordinary shares for proceeds of €7.7 million ($8.6 million) in connection with our Series B private placement and (z) our receipt of proceeds of €49.9 million ($55.0 million) from the sale of 3,038,674 of our ordinary shares pursuant to an investment by the Bill &amp; Melinda Gates Foundation; and</w:t>
      </w:r>
    </w:p>
    <w:p>
      <w:pPr>
        <w:spacing w:after="0" w:line="76" w:lineRule="exact"/>
        <w:rPr>
          <w:rFonts w:ascii="Arial" w:cs="Arial" w:eastAsia="Arial" w:hAnsi="Arial"/>
          <w:sz w:val="17"/>
          <w:szCs w:val="17"/>
          <w:color w:val="auto"/>
        </w:rPr>
      </w:pPr>
    </w:p>
    <w:p>
      <w:pPr>
        <w:jc w:val="both"/>
        <w:ind w:left="1180" w:right="240" w:hanging="436"/>
        <w:spacing w:after="0" w:line="264"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our issuance and the sale of 10,000,000 ADSs by us in this offering, at the initial public offering price of $15.00 per ADS, and after deducting underwriting discounts and commissions and estimated offering expenses payable by us.</w:t>
      </w:r>
    </w:p>
    <w:p>
      <w:pPr>
        <w:spacing w:after="0" w:line="18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Our capitalization following the offering will be adjusted based on the actual offering price and other terms of the offering determined at pricing, including the amount by which actual offering expenses are higher or lower than estimated. You should read this table in conjunction with our consolidated financial statements and related notes included in this prospectus as well as the sections titled “Use of Proceeds,” “Selected Consolidated Financial Data” and “Management’s Discussion and Analysis of Financial Condition and Results of Operations.”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As of June 30, 2019</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Actual</w:t>
            </w:r>
          </w:p>
        </w:tc>
        <w:tc>
          <w:tcPr>
            <w:tcW w:w="15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(1)(2)</w:t>
            </w:r>
          </w:p>
        </w:tc>
        <w:tc>
          <w:tcPr>
            <w:tcW w:w="20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(2)</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€ 284,890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532,687</w:t>
            </w:r>
          </w:p>
        </w:tc>
        <w:tc>
          <w:tcPr>
            <w:tcW w:w="32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€ 656,448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Ordinary shares, no par value per share: 212,748,588 shares, actual; 216,262,336 shares,</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 forma; 226,262,336 shares, pro forma as adjusted</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Share capital</w:t>
            </w:r>
            <w:r>
              <w:rPr>
                <w:rFonts w:ascii="Arial" w:cs="Arial" w:eastAsia="Arial" w:hAnsi="Arial"/>
                <w:sz w:val="15"/>
                <w:szCs w:val="15"/>
                <w:color w:val="auto"/>
              </w:rPr>
              <w:t>(2)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212,749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216,262</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226,262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reserve</w:t>
            </w:r>
            <w:r>
              <w:rPr>
                <w:rFonts w:ascii="Arial" w:cs="Arial" w:eastAsia="Arial" w:hAnsi="Arial"/>
                <w:sz w:val="15"/>
                <w:szCs w:val="15"/>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515,737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569,802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Accumulated losses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(336,501)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(336,501)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(336,501)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(7,495)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340"/>
              <w:spacing w:after="0"/>
              <w:rPr>
                <w:sz w:val="20"/>
                <w:szCs w:val="20"/>
                <w:color w:val="auto"/>
              </w:rPr>
            </w:pPr>
            <w:r>
              <w:rPr>
                <w:rFonts w:ascii="Arial" w:cs="Arial" w:eastAsia="Arial" w:hAnsi="Arial"/>
                <w:sz w:val="18"/>
                <w:szCs w:val="18"/>
                <w:color w:val="auto"/>
              </w:rPr>
              <w:t>Total equity</w:t>
            </w:r>
            <w:r>
              <w:rPr>
                <w:rFonts w:ascii="Arial" w:cs="Arial" w:eastAsia="Arial" w:hAnsi="Arial"/>
                <w:sz w:val="15"/>
                <w:szCs w:val="15"/>
                <w:color w:val="auto"/>
              </w:rPr>
              <w:t>(2)</w:t>
            </w:r>
          </w:p>
        </w:tc>
        <w:tc>
          <w:tcPr>
            <w:tcW w:w="3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384,490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442,068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r>
              <w:rPr>
                <w:rFonts w:ascii="Arial" w:cs="Arial" w:eastAsia="Arial" w:hAnsi="Arial"/>
                <w:sz w:val="15"/>
                <w:szCs w:val="15"/>
                <w:color w:val="auto"/>
              </w:rPr>
              <w:t>(2)</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€ 396,090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453,668</w:t>
            </w: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€ 577,429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40" w:right="280" w:hanging="436"/>
        <w:spacing w:after="0" w:line="256"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Proceeds of €190.2 million was a receivable recorded as an asset as of June 30, 2019, and therefore is reflected in the actual column under total assets, share capital and total equity. Accordingly, as the cash consideration was received after June 30, 2019, it therefore is only reflected as an increase in cash and cash equivalents in the pro forma column.</w:t>
      </w:r>
    </w:p>
    <w:p>
      <w:pPr>
        <w:ind w:left="640" w:right="160" w:hanging="436"/>
        <w:spacing w:after="0" w:line="277" w:lineRule="auto"/>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 forma amounts do not reflect the issuance of 5,524,506 shares in our Series B private placement to a Hong Kong-based investor, all of which have been transferred to us due to the investor’s failure to pay for the shares and are held in treasury. As a result, this investor does not hold any ordinary shares, and no arrangements exist for such investor to acquire any ordinary shares at this time.</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number of our ordinary shares issued and outstanding actual, pro forma and pro forma as-adjusted is based on 212,748,588 ordinary shares outstanding as of June 30, 2019 and excludes:</w:t>
      </w:r>
    </w:p>
    <w:p>
      <w:pPr>
        <w:spacing w:after="0" w:line="76" w:lineRule="exact"/>
        <w:rPr>
          <w:sz w:val="20"/>
          <w:szCs w:val="20"/>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11,882,124 ordinary shares issuable upon the exercise of options outstanding as of June 30, 2019; and</w:t>
      </w:r>
    </w:p>
    <w:p>
      <w:pPr>
        <w:spacing w:after="0" w:line="130" w:lineRule="exact"/>
        <w:rPr>
          <w:rFonts w:ascii="Arial" w:cs="Arial" w:eastAsia="Arial" w:hAnsi="Arial"/>
          <w:sz w:val="18"/>
          <w:szCs w:val="18"/>
          <w:color w:val="auto"/>
        </w:rPr>
      </w:pPr>
    </w:p>
    <w:p>
      <w:pPr>
        <w:jc w:val="center"/>
        <w:ind w:left="5580" w:right="380" w:hanging="4836"/>
        <w:spacing w:after="0" w:line="449" w:lineRule="auto"/>
        <w:tabs>
          <w:tab w:leader="none" w:pos="11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9,992,682 ordinary shares available for future issuance under our Employee Stock Ownership Plan or any future share option plan. 102</w:t>
      </w:r>
    </w:p>
    <w:p>
      <w:pPr>
        <w:sectPr>
          <w:pgSz w:w="11900" w:h="16838" w:orient="portrait"/>
          <w:cols w:equalWidth="0" w:num="1">
            <w:col w:w="10980"/>
          </w:cols>
          <w:pgMar w:left="240" w:top="459" w:right="6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If you invest in our ADSs in this offering, your interest will be diluted immediately to the extent of the difference between the initial public offering price per ADS and our as adjusted net tangible book value per ADS after completion of the offering.</w:t>
      </w:r>
    </w:p>
    <w:p>
      <w:pPr>
        <w:spacing w:after="0" w:line="17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Net tangible book value per ADS represents the amount of our total assets less our total liabilities, excluding intangible assets, divided by the number of our ordinary shares outstanding as of June 30, 2019, (one ADS represents one ordinary share). As of June 30, 2019, we had a historical net tangible book value of €289.5 million ($320.6 million), corresponding to a net tangible book value per ordinary share of €1.36 ($1.51) (equivalent $1.51 per ADS). Our pro forma</w:t>
      </w:r>
      <w:r>
        <w:rPr>
          <w:rFonts w:ascii="Arial" w:cs="Arial" w:eastAsia="Arial" w:hAnsi="Arial"/>
          <w:sz w:val="14"/>
          <w:szCs w:val="14"/>
          <w:color w:val="auto"/>
        </w:rPr>
        <w:t>(1)</w:t>
      </w:r>
      <w:r>
        <w:rPr>
          <w:rFonts w:ascii="Arial" w:cs="Arial" w:eastAsia="Arial" w:hAnsi="Arial"/>
          <w:sz w:val="17"/>
          <w:szCs w:val="17"/>
          <w:color w:val="auto"/>
        </w:rPr>
        <w:t xml:space="preserve"> net tangible book value as of June 30, 2019 was €347.1 million ($384.4 million), corresponding to a pro forma net tangible book value per ordinary share of €1.60 ($1.77) (equivalent $1.77 per ADS), based on the total number of shares of our common stock outstanding as of June 30, 2019, and after giving effect to (x) the issuance of 475,074 our ordinary shares for proceeds of €7.7 million ($8.6 million) in connection with our Series B private placement and (y) our receipt of proceeds of €49.9 million ($55.0 million) from the sale of 3,038,674 of our ordinary shares issued pursuant to an investment by the Bill and Melinda Gates Foundation.</w:t>
      </w:r>
    </w:p>
    <w:p>
      <w:pPr>
        <w:spacing w:after="0" w:line="179"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After giving effect to the issuance and sale of 10,000,000 ADSs in this offering at the initial offering price of $15.00 per ADS, and after deducting underwriting discounts and commissions and estimated offering expenses payable by us, our pro forma as adjusted net tangible book value as of</w:t>
      </w:r>
    </w:p>
    <w:p>
      <w:pPr>
        <w:ind w:left="200" w:right="80"/>
        <w:spacing w:after="0" w:line="253" w:lineRule="auto"/>
        <w:rPr>
          <w:sz w:val="20"/>
          <w:szCs w:val="20"/>
          <w:color w:val="auto"/>
        </w:rPr>
      </w:pPr>
      <w:r>
        <w:rPr>
          <w:rFonts w:ascii="Arial" w:cs="Arial" w:eastAsia="Arial" w:hAnsi="Arial"/>
          <w:sz w:val="18"/>
          <w:szCs w:val="18"/>
          <w:color w:val="auto"/>
        </w:rPr>
        <w:t>June 30, 2019 would have been €470.8 million ($521.4 million), corresponding to a net tangible book value per ordinary share of €2.08 ($2.30) (equivalent $2.30 per ADS). This represents an immediate increase in net tangible book value of €0.48 ($0.53) per ordinary share (equivalent to $0.53 per ADS) to existing shareholders and immediate dilution of $12.70 per ADS to new investors purchasing ADSs in this offering. Dilution per ADS to new investors is determined by subtracting our pro forma as adjusted net tangible book value per ADS from the assumed initial public offering price per ADS paid by new investors.</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The following table illustrates this dilution on a per-ADS basis:</w:t>
            </w:r>
          </w:p>
        </w:tc>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7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ADS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Historical net tangible book value per ADS as of June 30, 2019</w:t>
            </w: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 forma net tangible book value per ADS as of June 30, 2019</w:t>
            </w:r>
          </w:p>
        </w:tc>
        <w:tc>
          <w:tcPr>
            <w:tcW w:w="1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$1.77</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Increase in net tangible book value per ADS attributable to new investors participating in this offering</w:t>
            </w:r>
          </w:p>
        </w:tc>
        <w:tc>
          <w:tcPr>
            <w:tcW w:w="1820" w:type="dxa"/>
            <w:vAlign w:val="bottom"/>
          </w:tcPr>
          <w:p>
            <w:pPr>
              <w:jc w:val="right"/>
              <w:ind w:right="270"/>
              <w:spacing w:after="0"/>
              <w:rPr>
                <w:sz w:val="20"/>
                <w:szCs w:val="20"/>
                <w:color w:val="auto"/>
              </w:rPr>
            </w:pPr>
            <w:r>
              <w:rPr>
                <w:rFonts w:ascii="Arial" w:cs="Arial" w:eastAsia="Arial" w:hAnsi="Arial"/>
                <w:sz w:val="18"/>
                <w:szCs w:val="18"/>
                <w:color w:val="auto"/>
              </w:rPr>
              <w:t>$0.53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 forma as adjusted net tangible book value per ADS after this offering</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Dilution per ADS to new investors participating in this offering</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12.70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460" w:hanging="436"/>
        <w:spacing w:after="0" w:line="264" w:lineRule="auto"/>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historical net tangible book value as of June 30, 2019 includes €190.2 million which was a receivable recorded as an asset as of June 30, 2019. Accordingly, as the cash consideration was received after June 30, 2019, it therefore is only reflected as an increase in cash and cash equivalents.</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If the underwriters exercise in full their option to purchase additional ADSs, our pro forma as adjusted net tangible book value per ADS would be $2.38, representing an immediate increase in pro forma as adjusted net tangible book value to existing shareholders of $0.61 per ADS and immediate dilution of $12.62 per ADS to new investors, assuming no change in the assumed initial public offering price per ADS and after deducting underwriting discounts and commissions and estimated offering expenses payable by us.</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as adjusted information is illustrative only, and we will adjust this information based on the actual initial public offering price and other terms of this offering determined at pricing.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on a pro forma as adjusted basis as of June 30, 2019, after giving effect (x) to the issuance of 475,074 our ordinary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for proceeds of €7.7 million ($8.6 million) in connection with our Series B private placement and (y) our receipt of proceeds of €49.9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($55.0 million) from the sale of 3,038,674 of our ordinary shares issued pursuant to an investment by the Bill &amp; Melinda Gates Foundation, the number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ordinary shares owned by existing shareholders and to be owned by new investors purchasing ADSs in this offering, the total consideration paid to 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average price per ordinary share paid by our existing shareholders and the average price per ADS to be paid by new investors purchasing ADSs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this offering. The calculation below is based on the initial public offering price of $15.00 per ADS, before deducting underwriting discounts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commissions and estimated offering expenses payable by us: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Ordinary 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Total Consideration</w:t>
            </w:r>
          </w:p>
        </w:tc>
        <w:tc>
          <w:tcPr>
            <w:tcW w:w="1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Average</w:t>
            </w:r>
          </w:p>
        </w:tc>
        <w:tc>
          <w:tcPr>
            <w:tcW w:w="1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Average Price Per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2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12"/>
                <w:szCs w:val="12"/>
                <w:color w:val="auto"/>
              </w:rPr>
            </w:pPr>
          </w:p>
        </w:tc>
        <w:tc>
          <w:tcPr>
            <w:tcW w:w="8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w w:val="91"/>
              </w:rPr>
              <w:t>Per Share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216,262,336</w:t>
            </w:r>
          </w:p>
        </w:tc>
        <w:tc>
          <w:tcPr>
            <w:tcW w:w="3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95.6%</w:t>
            </w: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872,211,443</w:t>
            </w:r>
          </w:p>
        </w:tc>
        <w:tc>
          <w:tcPr>
            <w:tcW w:w="38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85.3%</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New investors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150,000,000</w:t>
            </w:r>
          </w:p>
        </w:tc>
        <w:tc>
          <w:tcPr>
            <w:tcW w:w="3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226,262,336</w:t>
            </w:r>
          </w:p>
        </w:tc>
        <w:tc>
          <w:tcPr>
            <w:tcW w:w="3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1,022,211,443</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number of our ordinary shares issued and outstanding actual, pro forma and pro forma as-adjusted is based on 212,748,588 ordinary shares outstanding as of June 30, 2019 and excludes:</w:t>
      </w:r>
    </w:p>
    <w:p>
      <w:pPr>
        <w:spacing w:after="0" w:line="76" w:lineRule="exact"/>
        <w:rPr>
          <w:sz w:val="20"/>
          <w:szCs w:val="20"/>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11,882,124 ordinary shares issuable upon the exercise of options outstanding as of June 30, 2019;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9,992,682 ordinary shares available for future issuance under our Employee Stock Ownership Plan or any future share option plan.</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following tables present selected consolidated financial data as of and for the years ended December 31, 2018 and 2017, as of June 30, 2019 and for the six months ended June 30, 2019 and 2018. We derived the selected consolidated statements of operations for the years ended December 31, 2018 and 2017 and the selected consolidated statement of financial position data as of December 31, 2018 from our audited consolidated financial statements included elsewhere in this prospectus. The selected consolidated statements of operations data for the six months ended June 30, 2019 and 2018 and the selected consolidated statement of financial position data as of June 30, 2019 have been derived from our unaudited interim condensed consolidated financial statements included elsewhere in this prospectus and have been prepared on the same basis as the audited financial statements. In the opinion of management, the unaudited interim data reflects all adjustments necessary for a fair presentation of the financial information in those statements. We present our consolidated financial statements in Euros and in accordance with IFRS as issued by the IASB.</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24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76" w:lineRule="auto"/>
        <w:rPr>
          <w:sz w:val="20"/>
          <w:szCs w:val="20"/>
          <w:color w:val="auto"/>
        </w:rPr>
      </w:pPr>
      <w:r>
        <w:rPr>
          <w:rFonts w:ascii="Arial" w:cs="Arial" w:eastAsia="Arial" w:hAnsi="Arial"/>
          <w:sz w:val="17"/>
          <w:szCs w:val="17"/>
          <w:color w:val="auto"/>
        </w:rPr>
        <w:t>The selected consolidated financial data below should be read together with our consolidated financial statements and related notes, and our unaudited interim condensed consolidated financial statements included elsewhere in this prospectus, as well as the sections of this prospectus titled “Capitalization” and “Management’s Discussion and Analysis of Financial Condition and Results of Operations.” Our historical results for any prior period are not necessarily indicative of results to be expected in any future period, and the results for the six months ended June 30, 2019 are not necessarily indicative of the results to be expected for the full year ended December 31, 2019.</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For the Six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9"/>
            <w:vMerge w:val="restart"/>
          </w:tcPr>
          <w:p>
            <w:pPr>
              <w:jc w:val="right"/>
              <w:ind w:right="280"/>
              <w:spacing w:after="0"/>
              <w:rPr>
                <w:sz w:val="20"/>
                <w:szCs w:val="20"/>
                <w:color w:val="auto"/>
              </w:rPr>
            </w:pPr>
            <w:r>
              <w:rPr>
                <w:rFonts w:ascii="Arial" w:cs="Arial" w:eastAsia="Arial" w:hAnsi="Arial"/>
                <w:sz w:val="14"/>
                <w:szCs w:val="14"/>
                <w:b w:val="1"/>
                <w:bCs w:val="1"/>
                <w:color w:val="auto"/>
                <w:w w:val="93"/>
              </w:rPr>
              <w:t>For the 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left="393"/>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left="413"/>
              <w:spacing w:after="0" w:line="142" w:lineRule="exact"/>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Revenues from contracts with customers</w:t>
            </w:r>
          </w:p>
        </w:tc>
        <w:tc>
          <w:tcPr>
            <w:tcW w:w="1580" w:type="dxa"/>
            <w:vAlign w:val="bottom"/>
            <w:gridSpan w:val="2"/>
          </w:tcPr>
          <w:p>
            <w:pPr>
              <w:ind w:left="14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51,939</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43,398</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127,575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(13,690)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113,885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(110,643)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(58,454)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(143,040)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(26,334)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(91,702)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(29,831)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(53,854)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Finance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lease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of loss of equity method investees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(23,300)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(47,662)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(85,905)</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5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(90,846)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(23,310)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(48,262)</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(85,950)</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Loss attributable to non-controlling interests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(23,235)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(48,019)</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June 30,</w:t>
            </w:r>
          </w:p>
        </w:tc>
        <w:tc>
          <w:tcPr>
            <w:tcW w:w="280" w:type="dxa"/>
            <w:vAlign w:val="bottom"/>
          </w:tcPr>
          <w:p>
            <w:pPr>
              <w:spacing w:after="0"/>
              <w:rPr>
                <w:sz w:val="10"/>
                <w:szCs w:val="10"/>
                <w:color w:val="auto"/>
              </w:rPr>
            </w:pPr>
          </w:p>
        </w:tc>
        <w:tc>
          <w:tcPr>
            <w:tcW w:w="98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financial position: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€ 284,890</w:t>
            </w:r>
          </w:p>
        </w:tc>
        <w:tc>
          <w:tcPr>
            <w:tcW w:w="28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411,495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722,369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337,879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212,749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Accumulated losses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(336,501)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information in “Selected Consolidated Financial Data” and our financial statements and related notes included elsewhere in this prospectus. The following discussion is based on our financial information prepared in accordance with the International Financial Reporting Standards, or IFRS, as issued by the International Accounting Standards Board, or IASB,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“Risk Factors” and elsewhere in this prospectus. Please also see “Cautionary Note Regarding Forward-Looking Statements.”</w:t>
      </w:r>
    </w:p>
    <w:p>
      <w:pPr>
        <w:spacing w:after="0" w:line="16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suite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7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Our clinical stage pipeline includes eight product candidates in nine ongoing clinical trials. Our immunotherapy drug classes consist of mRNA therapeutics, engineered cell therapies, antibodies and small molecule immunomodulators, and our product candidates span oncology, infectious diseases and rare diseases.</w:t>
      </w:r>
    </w:p>
    <w:p>
      <w:pPr>
        <w:spacing w:after="0" w:line="18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have assembled an exceptional team of over 1,100 employees and have established relationships with seven pharmaceutical collaborators, which comprise Genentech, Inc., or Genentech, Sanofi S.A., or Sanofi, Genmab A/S, or Genmab, Genevant Sciences GmbH, or Genevant, Eli Lilly and Company, or Eli Lilly, Bayer AG, or Bayer, and Pfizer Inc., or Pfizer. We have built out comprehensive in-house manufacturing capabilities and aim to strengthen our position as a leader in the highly automated, on-demand manufacturing of individualized therapies.</w:t>
      </w:r>
    </w:p>
    <w:p>
      <w:pPr>
        <w:spacing w:after="0" w:line="15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raised $1.3 billion of capital in private placements of our shares and from our collaborators. We use the capital we have raised to fund operations and investing activities across research for technology creation, drug discovery and clinical development programs, infrastructure (including digital infrastructure), creation of our portfolio of intellectual property, and administrative support.</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Since we were founded we have incurred significant operating losses. Our net losses were €90.8 million and €23.3 million for the six months ended June 30, 2019 and 2018, respectively, and €48.3 million and €86.0 million for the years ended December 31, 2018 and 2017, respectively. As of June 30, 2019 our accumulated losses were €336.5 million and as of December 31, 2018 and 2017, they were €245.8 million and €197.8 million, respectively. We expect to continue to incur significant expenses and operating losses for the foreseeable future. In addition, we anticipate that our expenses will increase significantly in connection with our ongoing activities as we:</w:t>
      </w:r>
    </w:p>
    <w:p>
      <w:pPr>
        <w:spacing w:after="0" w:line="94" w:lineRule="exact"/>
        <w:rPr>
          <w:sz w:val="20"/>
          <w:szCs w:val="20"/>
          <w:color w:val="auto"/>
        </w:rPr>
      </w:pPr>
    </w:p>
    <w:p>
      <w:pPr>
        <w:ind w:left="1180" w:hanging="436"/>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5580" w:right="260" w:hanging="4836"/>
        <w:spacing w:after="0" w:line="449" w:lineRule="auto"/>
        <w:tabs>
          <w:tab w:leader="none" w:pos="11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initiate additional preclinical studies or clinical or other trials for our product candidates, including under our collaboration agreements; 107</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1180" w:right="900" w:hanging="436"/>
        <w:spacing w:after="0" w:line="308" w:lineRule="auto"/>
        <w:tabs>
          <w:tab w:leader="none" w:pos="1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do not expect to generate revenue from the sale of our product candidates unless and until we successfully complete clinical development and obtain regulatory approval for such product candidates. If we seek to obtain regulatory approval for any of our product candidates, we expect to incur significant commercialization expenses.</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a result, we will need substantial additional funding to support our continued operations and pursue our growth strategy. Until we can generate significant revenue from pharmaceutical product sales, if ever, we expect to finance our operations through a combination of public or private equity offerings and debt financings, government funding arrangements, collaborations and marketing, distribution and licensing arrangements. We may be unable to raise additional funds or enter into such other arrangements on favorable terms, or at all. If we fail to raise capital or enter into such arrangements as, and when, needed, we may have to significantly delay, scale back or discontinue the development and commercialization of one or more of our programs.</w:t>
      </w:r>
    </w:p>
    <w:p>
      <w:pPr>
        <w:spacing w:after="0" w:line="193"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products, we may not become profitable. If we fail to become profitable or are unable to sustain profitability on a continuing basis, then we may be unable to continue our operations at planned levels and may be forced to reduce our operations.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About Our Business Units and Operating Segments</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Our business is managed in two business units: our biotech business unit and our external services business unit. Our biotech business unit is comprised of the following three operating segments:</w:t>
      </w:r>
    </w:p>
    <w:p>
      <w:pPr>
        <w:spacing w:after="0" w:line="72" w:lineRule="exact"/>
        <w:rPr>
          <w:sz w:val="20"/>
          <w:szCs w:val="20"/>
          <w:color w:val="auto"/>
        </w:rPr>
      </w:pPr>
    </w:p>
    <w:p>
      <w:pPr>
        <w:ind w:left="1180" w:hanging="436"/>
        <w:spacing w:after="0" w:line="261"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Clinical</w:t>
      </w:r>
      <w:r>
        <w:rPr>
          <w:rFonts w:ascii="Arial" w:cs="Arial" w:eastAsia="Arial" w:hAnsi="Arial"/>
          <w:sz w:val="18"/>
          <w:szCs w:val="18"/>
          <w:color w:val="auto"/>
        </w:rPr>
        <w:t xml:space="preserve"> segment contains all development activities relating to clinical programs. Clinical trials include testing the product candidates on humans. Clinical trials are an essential part of the development and licensing of the pharmaceutical products and are performed before the respective product can be placed on the market. We are actively engaged in many collaborations and licensing deals with leading pharmaceutical companies and academic collaborators.</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80" w:right="300" w:hanging="436"/>
        <w:spacing w:after="0" w:line="266"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Technology Platform</w:t>
      </w:r>
      <w:r>
        <w:rPr>
          <w:rFonts w:ascii="Arial" w:cs="Arial" w:eastAsia="Arial" w:hAnsi="Arial"/>
          <w:sz w:val="18"/>
          <w:szCs w:val="18"/>
          <w:color w:val="auto"/>
        </w:rPr>
        <w:t xml:space="preserve"> segment contains all development activities relating to preclinical programs. Preclinical development is the stage of research that begins before clinical trials. It is performed to determine the desired pharmacological effects and to identify any unwanted effects that may cause adverse reactions during human exposure.</w:t>
      </w:r>
    </w:p>
    <w:p>
      <w:pPr>
        <w:spacing w:after="0" w:line="81" w:lineRule="exact"/>
        <w:rPr>
          <w:rFonts w:ascii="Arial" w:cs="Arial" w:eastAsia="Arial" w:hAnsi="Arial"/>
          <w:sz w:val="18"/>
          <w:szCs w:val="18"/>
          <w:color w:val="auto"/>
        </w:rPr>
      </w:pPr>
    </w:p>
    <w:p>
      <w:pPr>
        <w:jc w:val="both"/>
        <w:ind w:left="1180" w:right="80" w:hanging="436"/>
        <w:spacing w:after="0" w:line="314" w:lineRule="auto"/>
        <w:tabs>
          <w:tab w:leader="none" w:pos="1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Manufacturing</w:t>
      </w:r>
      <w:r>
        <w:rPr>
          <w:rFonts w:ascii="Arial" w:cs="Arial" w:eastAsia="Arial" w:hAnsi="Arial"/>
          <w:sz w:val="16"/>
          <w:szCs w:val="16"/>
          <w:color w:val="auto"/>
        </w:rPr>
        <w:t xml:space="preserve"> segment is an essential part of the research and development process as it includes the manufacturing unit of mRNA and engineered cell therapies. All of the medical substances and tools that form the basis for the research studies performed by BioNTech are manufactured in this segment (</w:t>
      </w:r>
      <w:r>
        <w:rPr>
          <w:rFonts w:ascii="Arial" w:cs="Arial" w:eastAsia="Arial" w:hAnsi="Arial"/>
          <w:sz w:val="16"/>
          <w:szCs w:val="16"/>
          <w:i w:val="1"/>
          <w:iCs w:val="1"/>
          <w:color w:val="auto"/>
        </w:rPr>
        <w:t>i.e.</w:t>
      </w:r>
      <w:r>
        <w:rPr>
          <w:rFonts w:ascii="Arial" w:cs="Arial" w:eastAsia="Arial" w:hAnsi="Arial"/>
          <w:sz w:val="16"/>
          <w:szCs w:val="16"/>
          <w:color w:val="auto"/>
        </w:rPr>
        <w:t>, the Manufacturing segment contains only internally produced substances and tools).</w:t>
      </w:r>
    </w:p>
    <w:p>
      <w:pPr>
        <w:spacing w:after="0" w:line="14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biotech business unit also includes our business services operations. Our business services operations comprise our central administrative functions, such as finance, procurement, human resources, legal and intellectual property. Revenue and expenses relating to a program are attributed to the Technology Platform segment until the program commences late-stage preclinical studies, including IND-enabling studies, at which time the program revenues and expenses are attributed to the Clinical segment. In addition, the majority of our Manufacturing segment revenue and expenses are related to the development of our clinical product candidates.</w:t>
      </w:r>
    </w:p>
    <w:p>
      <w:pPr>
        <w:spacing w:after="0" w:line="188"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Our external services business unit comprises the external services segment, which includes activities related to the sales of diagnostic products, peptides, retroviral vectors for clinical supply, and development and manufacturing services that are sold to third-party customers.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 June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13"/>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center"/>
              <w:ind w:right="10"/>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51,939</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€ 43,398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127,575</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€ 61,598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(8,694)</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(6,437)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(13,690)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43,245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113,885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(110,643)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(58,454)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(143,040)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(85,496)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(23,899)</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(9,665)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(26,334)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(720)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(91,702)</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(29,831)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(53,854)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(61,277)</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(1,721)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 method investees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(90,827)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(23,300)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(47,662)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(85,905)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(90,846</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(23,310</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(48,262</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(85,950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To date, we have not generated any revenue from the sale of pharmaceutical products. Our revenue has been primarily derived from our collaborations and the sale of diagnostic products, peptides, retroviral vectors for clinical supply, and development and manufacturing services that are sold to third-party customers.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60"/>
          </w:cols>
          <w:pgMar w:left="24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revenue recognized for the periods indicated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2"/>
              </w:rPr>
              <w:t>Six Months Ended June 30,</w:t>
            </w:r>
          </w:p>
        </w:tc>
        <w:tc>
          <w:tcPr>
            <w:tcW w:w="24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center"/>
              <w:ind w:left="379"/>
              <w:spacing w:after="0" w:line="142" w:lineRule="exact"/>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Collaboration revenue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42,023</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29,281</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€ 101,837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42,333</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sales transactions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14,117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25,738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19,265</w:t>
            </w:r>
          </w:p>
        </w:tc>
      </w:tr>
      <w:tr>
        <w:trPr>
          <w:trHeight w:val="223"/>
        </w:trPr>
        <w:tc>
          <w:tcPr>
            <w:tcW w:w="4780" w:type="dxa"/>
            <w:vAlign w:val="bottom"/>
          </w:tcPr>
          <w:p>
            <w:pPr>
              <w:ind w:left="72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51,939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43,398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€ 127,575</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61,598</w:t>
            </w:r>
          </w:p>
        </w:tc>
        <w:tc>
          <w:tcPr>
            <w:tcW w:w="6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collaboration revenue for the periods indicated (in thousands):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4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left="376"/>
              <w:spacing w:after="0" w:line="142" w:lineRule="exact"/>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Eli Lilly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676</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2,074</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Genentech</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31,750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22,164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49,536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27,829</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Genmab</w:t>
            </w: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2,740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2,740</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6,765</w:t>
            </w: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Pfizer</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7,174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Sanofi</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3,099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3,701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41,712</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5,665</w:t>
            </w:r>
          </w:p>
        </w:tc>
      </w:tr>
      <w:tr>
        <w:trPr>
          <w:trHeight w:val="27"/>
        </w:trPr>
        <w:tc>
          <w:tcPr>
            <w:tcW w:w="4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7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collaboration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29,281</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101,837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42,333</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collaboration revenue consists of milestone payments, upfront licensing payments and reimbursement of development expenses. Certain of these payments are initially recorded on our statement of financial position and are subsequently recognized as revenue in accordance with our accounting policy as described further in “—Critical Accounting Policies and Use of Estimates” and Note 2.3.4 to our consolidated financial statements included elsewhere in this prospectus. Our collaborations with Bayer and Genevant did not result in any revenue in the six months ended June 30, 2019 or in 2018 and 2017. The increase in collaboration revenue from our Sanofi collaboration in 2018 was due primarily to a reimbursement of 50% of CellScript sublicense costs pursuant to a separate sub-sublicense agreement dated December 22, 2018.</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revenue from other sales transactions consists of sales of diagnostic products, peptides, retroviral vectors for clinical supply, and development and manufacturing services sold to third-party customers.</w:t>
      </w:r>
    </w:p>
    <w:p>
      <w:pPr>
        <w:spacing w:after="0" w:line="17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ability to generate revenue from sales of pharmaceutical products and become profitable depends upon our and our collaborators’ ability to successfully commercialize our product candidates. For the foreseeable future, we do not expect revenue from pharmaceutical product sales. To the extent that existing or potential future collaborations generate revenue, our revenue may vary due to many uncertainties in the development of our product candidates and other factors.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further information on our revenue recognition policies, see “—Critical Accounting Policies and Use of Estimates—Revenue Recognition.”</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cost of sales includes personnel-related expenses, social security expenses, laboratory supplies, purchased services, depreciation and other expenses incurred in connection with the manufacturing of our external products.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24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summarizes our cost of sales for the six months ended June 30, 2019 and 2018 and the years ended December 31, 2018 and 2017 (in thousands):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2019</w:t>
            </w: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Wages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€3,125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€2,467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5,582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€5,115</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Social security expenses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Laboratory supplies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1,367</w:t>
            </w:r>
          </w:p>
        </w:tc>
        <w:tc>
          <w:tcPr>
            <w:tcW w:w="4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700"/>
              <w:spacing w:after="0"/>
              <w:rPr>
                <w:sz w:val="20"/>
                <w:szCs w:val="20"/>
                <w:color w:val="auto"/>
              </w:rPr>
            </w:pPr>
            <w:r>
              <w:rPr>
                <w:rFonts w:ascii="Arial" w:cs="Arial" w:eastAsia="Arial" w:hAnsi="Arial"/>
                <w:sz w:val="18"/>
                <w:szCs w:val="18"/>
                <w:b w:val="1"/>
                <w:bCs w:val="1"/>
                <w:color w:val="auto"/>
              </w:rPr>
              <w:t>Total cost of sales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8,694</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6,437</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13,690</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9,318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expenses. All research and development expenses are expensed as incurred. Research and development expenses include our share of expenses payable by us under the terms of our collaboration agreements and 100% of the expenses for our wholly owned product candidates. Research and development expenses represent costs incurred by us for the following:</w:t>
      </w:r>
    </w:p>
    <w:p>
      <w:pPr>
        <w:spacing w:after="0" w:line="92" w:lineRule="exact"/>
        <w:rPr>
          <w:sz w:val="20"/>
          <w:szCs w:val="20"/>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 to develop our platforms;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discovery efforts leading to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clinical development expenses for our programs;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 to develop our manufacturing technology and infrastructure;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digital infrastructure costs.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costs above comprise the following categories:</w:t>
      </w:r>
    </w:p>
    <w:p>
      <w:pPr>
        <w:spacing w:after="0" w:line="131" w:lineRule="exact"/>
        <w:rPr>
          <w:sz w:val="20"/>
          <w:szCs w:val="20"/>
          <w:color w:val="auto"/>
        </w:rPr>
      </w:pPr>
    </w:p>
    <w:p>
      <w:pPr>
        <w:ind w:left="1180" w:hanging="436"/>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share-based compensation expense and social security expense;</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contract research organizations, or CROs, that conduct our preclinical studies and clinical trials, and in-licensing arrangements;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costs of acquiring, developing and manufacturing materials for preclinical studies and clinical trials, including both internal manufacturing and third-party contract manufacturing organizations, or CMOs;</w:t>
      </w:r>
    </w:p>
    <w:p>
      <w:pPr>
        <w:spacing w:after="0" w:line="75"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expenses incurred for the procurement of materials, laboratory supplies and non-capital equipment used in the research and development process; and</w:t>
      </w:r>
    </w:p>
    <w:p>
      <w:pPr>
        <w:spacing w:after="0" w:line="75" w:lineRule="exact"/>
        <w:rPr>
          <w:rFonts w:ascii="Arial" w:cs="Arial" w:eastAsia="Arial" w:hAnsi="Arial"/>
          <w:sz w:val="18"/>
          <w:szCs w:val="18"/>
          <w:color w:val="auto"/>
        </w:rPr>
      </w:pPr>
    </w:p>
    <w:p>
      <w:pPr>
        <w:ind w:left="5580" w:hanging="4836"/>
        <w:spacing w:after="0" w:line="449" w:lineRule="auto"/>
        <w:tabs>
          <w:tab w:leader="none" w:pos="1171" w:val="left"/>
        </w:tabs>
        <w:numPr>
          <w:ilvl w:val="0"/>
          <w:numId w:val="76"/>
        </w:numPr>
        <w:rPr>
          <w:rFonts w:ascii="Arial" w:cs="Arial" w:eastAsia="Arial" w:hAnsi="Arial"/>
          <w:sz w:val="18"/>
          <w:szCs w:val="18"/>
          <w:color w:val="auto"/>
        </w:rPr>
      </w:pPr>
      <w:r>
        <w:rPr>
          <w:rFonts w:ascii="Arial" w:cs="Arial" w:eastAsia="Arial" w:hAnsi="Arial"/>
          <w:sz w:val="18"/>
          <w:szCs w:val="18"/>
          <w:color w:val="auto"/>
        </w:rPr>
        <w:t>facilities, depreciation and amortization, and other direct and allocated expenses incurred as a result of research and development activities. 111</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our research and development expenses for the six months ended June 30, 2019 and 2018 and the years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and 2017 (in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2"/>
              </w:rPr>
              <w:t>Six Months Ended June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2018</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left="375"/>
              <w:spacing w:after="0" w:line="142" w:lineRule="exact"/>
              <w:rPr>
                <w:sz w:val="20"/>
                <w:szCs w:val="20"/>
                <w:color w:val="auto"/>
              </w:rPr>
            </w:pPr>
            <w:r>
              <w:rPr>
                <w:rFonts w:ascii="Arial" w:cs="Arial" w:eastAsia="Arial" w:hAnsi="Arial"/>
                <w:sz w:val="14"/>
                <w:szCs w:val="14"/>
                <w:b w:val="1"/>
                <w:bCs w:val="1"/>
                <w:color w:val="auto"/>
                <w:w w:val="94"/>
              </w:rPr>
              <w:t>(unaudited)</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Wages and social security expenses (excluding share-based compensation)</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29,944</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17,550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38,882</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26,403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Purchased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31,702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19,078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42,079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22,686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Laboratory supplies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12,351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18,312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700"/>
              <w:spacing w:after="0"/>
              <w:rPr>
                <w:sz w:val="20"/>
                <w:szCs w:val="20"/>
                <w:color w:val="auto"/>
              </w:rPr>
            </w:pPr>
            <w:r>
              <w:rPr>
                <w:rFonts w:ascii="Arial" w:cs="Arial" w:eastAsia="Arial" w:hAnsi="Arial"/>
                <w:sz w:val="18"/>
                <w:szCs w:val="18"/>
                <w:b w:val="1"/>
                <w:bCs w:val="1"/>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110,643</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58,454</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143,040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85,496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“other” research and development expenses comprise expenses in relation to clinical studies, travel costs, incidental rental costs, and lease and lease-related costs.</w:t>
      </w:r>
    </w:p>
    <w:p>
      <w:pPr>
        <w:spacing w:after="0" w:line="17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largest component of our total operating expenses has historically been our investment in research and development activities, including development of our platforms and manufacturing technologies. We cannot reasonably estimate the nature, timing and amount of research and development expenses required to complete the development of the product candidates we are currently developing or may develop in the future. There are numerous risks and uncertainties associated with the research and development of such product candidates, including, but not limited to:</w:t>
      </w:r>
    </w:p>
    <w:p>
      <w:pPr>
        <w:spacing w:after="0" w:line="60" w:lineRule="exact"/>
        <w:rPr>
          <w:sz w:val="20"/>
          <w:szCs w:val="20"/>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scope, progress and expense of developing ongoing and future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entry in and completion of related preclinical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enrollment in and completion of subsequent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safety and efficacy of product candidates resulting from these clinical trials;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changes in laws or regulations relevant to the investigational medicines in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receipt of the required regulatory approvals;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commercialization, including establishing manufacturing and marketing capabilities.</w:t>
      </w:r>
    </w:p>
    <w:p>
      <w:pPr>
        <w:spacing w:after="0" w:line="22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 change in expectations or outcomes of any of the known or unknown risks and uncertainties may materially impact our expected research and development expenditures. Continued research and development is central to the ongoing activities of our business. Product candidates in later stages of clinical development generally have higher development expenses than those in earlier stages of clinical development, primarily due to the increased size and duration of later-stage clinical trials. We expect these costs to continue to increase in the future as our product candidates progress through the development phases and as we identify and develop additional programs.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Our sales and marketing expenses consist of personnel-related costs, purchased services, travel costs, social security, transport costs and depreciation. If we obtain regulatory approval for any of our product candidates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do not enter into any third-party commercialization collaborations, we expect to incur significant expenses related to building a sales and marketing team to support sales, marketing and distribution activities.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the six months ended June 30, 2019, our sales and marketing expenses amounted to €1.2 million, €0.2 million of which constituted expenses for purchased services. For the six months ended June 30, 2018, our sales and marketing expenses amounted to €1.2 million, €0.4 million of which constituted expenses for purchased services.</w:t>
      </w:r>
    </w:p>
    <w:p>
      <w:pPr>
        <w:spacing w:after="0" w:line="18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sales and marketing expenses amounted to €3.0 million in the fiscal year 2018, €0.8 million of which constituted expenses for purchased services. Our sales and marketing expenses amounted to €6.6 million in the fiscal year 2017, €2.8 million of which constituted expenses for purchased services.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costs (including share-based compensation)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our general and administrative expenses for the six months ended June 30, 2019 and 2018 and years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and 2017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center"/>
              <w:ind w:right="10"/>
              <w:spacing w:after="0"/>
              <w:rPr>
                <w:sz w:val="20"/>
                <w:szCs w:val="20"/>
                <w:color w:val="auto"/>
              </w:rPr>
            </w:pPr>
            <w:r>
              <w:rPr>
                <w:rFonts w:ascii="Arial" w:cs="Arial" w:eastAsia="Arial" w:hAnsi="Arial"/>
                <w:sz w:val="14"/>
                <w:szCs w:val="14"/>
                <w:b w:val="1"/>
                <w:bCs w:val="1"/>
                <w:color w:val="auto"/>
                <w:w w:val="92"/>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4"/>
          </w:tcPr>
          <w:p>
            <w:pPr>
              <w:jc w:val="center"/>
              <w:ind w:right="10"/>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w w:val="94"/>
              </w:rPr>
              <w:t>Wages and social security expenses (excluding share-based compensation)</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6,578</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€3,085</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7,854</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6,363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IT and office equipment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2,092</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 services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Office costs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597</w:t>
            </w:r>
          </w:p>
        </w:tc>
        <w:tc>
          <w:tcPr>
            <w:tcW w:w="4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23,899</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9,665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26,334</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23,520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“other” general and administrative expenses are mainly comprised of travel costs, job advertisement expenses, contract staffing expenses, training expenses and incidental rental costs. For the period ended June 30, 2019, “other” general and administrative expenses also included a charge of €2.6 million in connection with certain withholding tax payments for intellectual property licenses related to prior years.</w:t>
      </w:r>
    </w:p>
    <w:p>
      <w:pPr>
        <w:spacing w:after="0" w:line="166"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anticipate general and administrative expenses will increase as research and development expands. These increases will likely relate to additional personnel and increased costs related in part to finance, legal and intellectual property-related matters along with increased expenses related to operating as a publicly traded company, such as fees related to audit, legal and tax services, regulatory compliance programs and investor relations.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Operating Income (Expenses)</w:t>
      </w:r>
    </w:p>
    <w:p>
      <w:pPr>
        <w:spacing w:after="0" w:line="117"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Our other operating income consists primarily of government grants. For the six months ended June 30, 2019, our other operating income amounted to €1.0 million, €0.4 million of which constituted government grants.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the six months ended June 30, 2018, our other operating income amounted to €2.6 million, €2.2 million of which constituted government grants.</w:t>
      </w:r>
    </w:p>
    <w:p>
      <w:pPr>
        <w:spacing w:after="0" w:line="24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the fiscal year 2018, our other operating income amounted to €5.4 million, €4.2 million of which constituted government grants. In the fiscal year 2017, our other operating income amounted to €2.4 million, €2.3 million of which constituted government grants.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the fiscal year 2018, no impairment loss was recognized. In the fiscal year 2017, we suffered an impairment loss of €281 thousand as a result of a write-down of a software program which was no longer usable.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 (Expenses)</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finance income consists of interest income on cash and foreign exchange gains. For the six months ended June 30, 2019, our finance income amounted to €1.9 million, €1.1 million of which were attributable to unrealized foreign exchange gains. For the six months ended June 30, 2018, our finance income amounted to €7.5 million, €6.3 million of which were attributable to unrealized foreign exchange gains.</w:t>
      </w:r>
    </w:p>
    <w:p>
      <w:pPr>
        <w:spacing w:after="0" w:line="166"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In the fiscal year 2018, finance income amounted to €8.0 million, €6.1 million of which were attributable to unrealized foreign exchange gains. In the fiscal year 2017, no foreign exchange gains were reported under finance income and our finance income amounted to €2.1 million.</w:t>
      </w:r>
    </w:p>
    <w:p>
      <w:pPr>
        <w:spacing w:after="0" w:line="147"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Our finance expense consists of the amortized cost of financial instruments and foreign exchange losses. For the six months ended June 30, 2019, our finance expense amounted to €151 thousand. We did not have any finance expense for the six months ended June 30, 2018.</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the fiscal year 2018, no foreign exchange losses were reported under finance expense and our finance expense amounted to €48 thousand. In the fiscal year 2017, our finance expense amounted to €26.0 million, almost all of which was attributable to unrealized foreign exchange losses resulting from unhedged U.S. dollar cash accounts.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Losses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We have accumulated tax losses with respect to corporate tax and trade tax. As at June 30, 2019, our accumulated tax losses amounted to €229.5 million with respect to corporate tax and €226.5 million with respect to trade tax.</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had accumulated tax losses of €179.3 million with respect to corporate tax and €176.4 million with respect to trade tax as at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2018. We had accumulated tax losses of €178.5 million with respect to corporate tax and €176.0 million with respect to trade tax as at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Biotech Business Unit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the statements of operations of our biotech business unit, consisting of the Clinical, Technology Platform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Manufacturing segments and the associated business services operations for each period presented (in thousands):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 June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center"/>
              <w:ind w:right="10"/>
              <w:spacing w:after="0" w:line="142" w:lineRule="exact"/>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42,496</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€ 34,910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108,662</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€ 42,657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108,622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(110,472)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(58,087)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(142,448)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(83,583)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(22,554)</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(8,544)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(23,791)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result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(90,511</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(30,005</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(55,659</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(65,326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Six Months Ended June 30, 2019 and 2018</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revenue of our biotech business unit by segment for each period presented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360" w:type="dxa"/>
            <w:vAlign w:val="bottom"/>
          </w:tcPr>
          <w:p>
            <w:pPr>
              <w:spacing w:after="0"/>
              <w:rPr>
                <w:sz w:val="14"/>
                <w:szCs w:val="14"/>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0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5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Technology Platform</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9,991</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(9,528)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Business Services</w:t>
            </w:r>
          </w:p>
        </w:tc>
        <w:tc>
          <w:tcPr>
            <w:tcW w:w="2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unit revenue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total revenue of our biotech business unit increased by €7.6 million, or 22%, to €42.5 million as at June 30, 2019 from €34.9 million as at June 30, 2018. This increase was driven by increases in revenue in our Clinical and Manufacturing segments, offset by a decrease in revenue in our Technology Platform segment.</w:t>
      </w:r>
    </w:p>
    <w:p>
      <w:pPr>
        <w:spacing w:after="0" w:line="18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increase in revenue in our Clinical segment of €5.0 million, from €13.4 million for the six months ended June 30, 2018 to €18.4 million for the six months ended June 30, 2019, was predominantly due to the progress of our collaboration agreement with Pfizer into the clinical stage from the research stage.</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decrease in revenue in our Technology Platform segment of €9.5 million, from €10.0 million for the six months ended June 30, 2018 to €0.5 million for the six months ended June 30, 2019, is due to the progress of our collaboration agreement with Sanofi from the research stage into the clinical stage as described above, because revenue from such collaboration agreement was recorded in our Technology Platform segment for the six months ended June 30, 2018. The decrease was also due to the occurrence of the Transfer and License Agreement with Ganymed for Bispecific Antibodies in the six months ended June 30, 2018, which did not reoccur in the six months ended June 30, 2019.</w:t>
      </w:r>
    </w:p>
    <w:p>
      <w:pPr>
        <w:spacing w:after="0" w:line="1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240" w:top="459" w:right="5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color w:val="auto"/>
        </w:rPr>
        <w:t>The increase in revenue in our Manufacturing segment of €12.1 million, from €11.5 million for the six months ended June 30, 2018 to €23.6 million for the six months ended June 30, 2019, was primarily due to progress in our collaboration agreement with Genentech.</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 summarizes the research and development expenses of our biotech business unit by segment for each period presented (in thousands):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w w:val="93"/>
              </w:rPr>
              <w:t>Six Months Ended</w:t>
            </w:r>
          </w:p>
        </w:tc>
        <w:tc>
          <w:tcPr>
            <w:tcW w:w="360" w:type="dxa"/>
            <w:vAlign w:val="bottom"/>
          </w:tcPr>
          <w:p>
            <w:pPr>
              <w:spacing w:after="0"/>
              <w:rPr>
                <w:sz w:val="14"/>
                <w:szCs w:val="14"/>
                <w:color w:val="auto"/>
              </w:rPr>
            </w:pPr>
          </w:p>
        </w:tc>
        <w:tc>
          <w:tcPr>
            <w:tcW w:w="9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9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center"/>
              <w:ind w:right="10"/>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8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Technology Platform</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27,350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10,864</w:t>
            </w:r>
          </w:p>
        </w:tc>
        <w:tc>
          <w:tcPr>
            <w:tcW w:w="3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Business Services</w:t>
            </w: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3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unit research and development expenses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€ 58,087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52,385</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research and development expenses of our biotech business unit increased by €52.4 million, or 90%, to €110.5 million as at June 30, 2019 from €58.1 million as at June 30, 2018. This increase was due to an increase in headcount, the introduction of the ESOP program and higher expenses regarding our collaboration agreements.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our clinical research and development expenses, by drug class and selected platforms, for the six months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2019 and 2018 (in thousands):</w:t>
      </w:r>
    </w:p>
    <w:p>
      <w:pPr>
        <w:spacing w:after="0" w:line="22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Six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412"/>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mRNA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FixVac</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iNeST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7,890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mRNA</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700"/>
              <w:spacing w:after="0"/>
              <w:rPr>
                <w:sz w:val="20"/>
                <w:szCs w:val="20"/>
                <w:color w:val="auto"/>
              </w:rPr>
            </w:pPr>
            <w:r>
              <w:rPr>
                <w:rFonts w:ascii="Arial" w:cs="Arial" w:eastAsia="Arial" w:hAnsi="Arial"/>
                <w:sz w:val="18"/>
                <w:szCs w:val="18"/>
                <w:color w:val="auto"/>
              </w:rPr>
              <w:t>Total mRNA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25,199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10,720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Engineered Cell Therapies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Antibodies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Small Molecule Immunomodulators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4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10,666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clinical research and development expenses</w:t>
            </w:r>
          </w:p>
        </w:tc>
        <w:tc>
          <w:tcPr>
            <w:tcW w:w="1280" w:type="dxa"/>
            <w:vAlign w:val="bottom"/>
            <w:gridSpan w:val="2"/>
            <w:shd w:val="clear" w:color="auto" w:fill="CCEEFF"/>
          </w:tcPr>
          <w:p>
            <w:pPr>
              <w:ind w:left="118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43,686</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18,726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 €10.7 million increase in other mRNA clinical research and development expenses mainly relates to new collaboration agreements and license programs with existing partners that were initiated in the second half of 2018 and therefore only affected the six months ended June 30, 2019.</w:t>
      </w:r>
    </w:p>
    <w:p>
      <w:pPr>
        <w:spacing w:after="0" w:line="12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Other clinical research and development expenses primarily consist of share-based compensation, which is not directly related to individual drug classes and platforms.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sales and marketing expenses of our biotech business unit consist of sales and marketing expenses which are not directly attributable to one of our operating segments and are allocated to business services.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sales and marketing expenses of our biotech business unit increased by €9 thousand, or 2%, to €569 thousand as at June 30, 2019 from €560 thousand as at June 30,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general and administrative expenses of our biotech business unit are attributable to the Manufacturing segment and business services.</w:t>
      </w:r>
    </w:p>
    <w:p>
      <w:pPr>
        <w:spacing w:after="0" w:line="23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general and administrative expenses of our biotech business unit increased by €14.0 million, or 164%, to €22.6 million as at June 30, 2019 from €8.6 million as at June 30, 2018. This increase was due to an increase in headcount, the expense recognized from the granting of options under the ESOP program an expense for withholding tax related to prior years, expenses related to the Series B financing round and expenses for an additional office building.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Result</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other result of our biotech business unit mostly relates to a decrease in government grants. This income decreased by €1.7 million, or 75%, to €588 thousand as at June 30, 2019 from €2.3 million as at June 30,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revenue of our biotech business unit by segment for each period presented (in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9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98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Clinical</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36,750</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€ 25,721</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Technology Platform</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14,828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31,407</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23,527</w:t>
            </w:r>
          </w:p>
        </w:tc>
        <w:tc>
          <w:tcPr>
            <w:tcW w:w="4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Business Services</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unit revenue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108,662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€ 42,657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66,005</w:t>
            </w:r>
          </w:p>
        </w:tc>
        <w:tc>
          <w:tcPr>
            <w:tcW w:w="4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total revenue of our biotech business unit increased by €66.0 million, or 155% from €42.7 million to €108.7 million, due to a significant increase in the revenue recognition of our collaboration revenue, particularly with respect to our collaborations with Genentech (in the Clinical and Manufacturing segments) and Sanofi, as well as revenue from our collaboration with Pfizer, which was entered into in 2018. In the Technology Platform segment, 2018 revenue included €3.9 million for outlicensing patents and know-how to a third party. No further payments are due.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the research and development expenses of our biotech business unit by segment for each period presented (in thousands):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94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98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Clinical</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48,641</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€ 25,099</w:t>
            </w:r>
          </w:p>
        </w:tc>
        <w:tc>
          <w:tcPr>
            <w:tcW w:w="3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23,542</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Technology Platform</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60,320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37,019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23,301</w:t>
            </w:r>
          </w:p>
        </w:tc>
        <w:tc>
          <w:tcPr>
            <w:tcW w:w="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Business Services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1,979</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6,701</w:t>
            </w:r>
          </w:p>
        </w:tc>
        <w:tc>
          <w:tcPr>
            <w:tcW w:w="3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(4,722)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unit research and development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142,448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83,583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research and development expenses of our biotech business unit increased by €58.9 million, or 70%, to €142.4 million in 2018 from</w:t>
      </w:r>
    </w:p>
    <w:p>
      <w:pPr>
        <w:spacing w:after="0" w:line="23"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€83.6 million in 2017. This increase was primarily due to increase in clinical development activities, manufacturing for the iNeST clinical study supply and increased headcount.</w:t>
      </w:r>
    </w:p>
    <w:p>
      <w:pPr>
        <w:spacing w:after="0" w:line="18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table summarizes our clinical research and development expenses, broken down by drug class and selected platforms, for the years ended December 31, 2018 and 2017 (in thousands):</w:t>
      </w:r>
    </w:p>
    <w:p>
      <w:pPr>
        <w:spacing w:after="0" w:line="189"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6350</wp:posOffset>
            </wp:positionV>
            <wp:extent cx="11918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8200"/>
        <w:spacing w:after="0"/>
        <w:tabs>
          <w:tab w:leader="none" w:pos="92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tbl>
      <w:tblPr>
        <w:tblLayout w:type="fixed"/>
        <w:tblInd w:w="15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Clinical:</w:t>
            </w: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700"/>
              <w:spacing w:after="0"/>
              <w:rPr>
                <w:sz w:val="20"/>
                <w:szCs w:val="20"/>
                <w:color w:val="auto"/>
              </w:rPr>
            </w:pPr>
            <w:r>
              <w:rPr>
                <w:rFonts w:ascii="Arial" w:cs="Arial" w:eastAsia="Arial" w:hAnsi="Arial"/>
                <w:sz w:val="18"/>
                <w:szCs w:val="18"/>
                <w:color w:val="auto"/>
              </w:rPr>
              <w:t>mRNA FixVac</w:t>
            </w:r>
          </w:p>
        </w:tc>
        <w:tc>
          <w:tcPr>
            <w:tcW w:w="780" w:type="dxa"/>
            <w:vAlign w:val="bottom"/>
          </w:tcPr>
          <w:p>
            <w:pPr>
              <w:jc w:val="right"/>
              <w:spacing w:after="0"/>
              <w:rPr>
                <w:sz w:val="20"/>
                <w:szCs w:val="20"/>
                <w:color w:val="auto"/>
              </w:rPr>
            </w:pPr>
            <w:r>
              <w:rPr>
                <w:rFonts w:ascii="Arial" w:cs="Arial" w:eastAsia="Arial" w:hAnsi="Arial"/>
                <w:sz w:val="18"/>
                <w:szCs w:val="18"/>
                <w:color w:val="auto"/>
              </w:rPr>
              <w:t>€3,018</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€2,539</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iNeST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700"/>
              <w:spacing w:after="0"/>
              <w:rPr>
                <w:sz w:val="20"/>
                <w:szCs w:val="20"/>
                <w:color w:val="auto"/>
              </w:rPr>
            </w:pPr>
            <w:r>
              <w:rPr>
                <w:rFonts w:ascii="Arial" w:cs="Arial" w:eastAsia="Arial" w:hAnsi="Arial"/>
                <w:sz w:val="18"/>
                <w:szCs w:val="18"/>
                <w:color w:val="auto"/>
              </w:rPr>
              <w:t>Other mRNA</w:t>
            </w:r>
          </w:p>
        </w:tc>
        <w:tc>
          <w:tcPr>
            <w:tcW w:w="780" w:type="dxa"/>
            <w:vAlign w:val="bottom"/>
          </w:tcPr>
          <w:p>
            <w:pPr>
              <w:jc w:val="right"/>
              <w:spacing w:after="0"/>
              <w:rPr>
                <w:sz w:val="20"/>
                <w:szCs w:val="20"/>
                <w:color w:val="auto"/>
              </w:rPr>
            </w:pPr>
            <w:r>
              <w:rPr>
                <w:rFonts w:ascii="Arial" w:cs="Arial" w:eastAsia="Arial" w:hAnsi="Arial"/>
                <w:sz w:val="18"/>
                <w:szCs w:val="18"/>
                <w:color w:val="auto"/>
              </w:rPr>
              <w:t>9,441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mRNA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Engineered Cell Therapies</w:t>
            </w:r>
          </w:p>
        </w:tc>
        <w:tc>
          <w:tcPr>
            <w:tcW w:w="780" w:type="dxa"/>
            <w:vAlign w:val="bottom"/>
          </w:tcPr>
          <w:p>
            <w:pPr>
              <w:jc w:val="right"/>
              <w:spacing w:after="0"/>
              <w:rPr>
                <w:sz w:val="20"/>
                <w:szCs w:val="20"/>
                <w:color w:val="auto"/>
              </w:rPr>
            </w:pPr>
            <w:r>
              <w:rPr>
                <w:rFonts w:ascii="Arial" w:cs="Arial" w:eastAsia="Arial" w:hAnsi="Arial"/>
                <w:sz w:val="20"/>
                <w:szCs w:val="20"/>
                <w:color w:val="auto"/>
              </w:rPr>
              <w:t>653</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2,213</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Antibodies</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14,353</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r>
      <w:tr>
        <w:trPr>
          <w:trHeight w:val="230"/>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Small Molecule Immunomodulators</w:t>
            </w:r>
          </w:p>
        </w:tc>
        <w:tc>
          <w:tcPr>
            <w:tcW w:w="780" w:type="dxa"/>
            <w:vAlign w:val="bottom"/>
          </w:tcPr>
          <w:p>
            <w:pPr>
              <w:jc w:val="right"/>
              <w:spacing w:after="0"/>
              <w:rPr>
                <w:sz w:val="20"/>
                <w:szCs w:val="20"/>
                <w:color w:val="auto"/>
              </w:rPr>
            </w:pPr>
            <w:r>
              <w:rPr>
                <w:rFonts w:ascii="Arial" w:cs="Arial" w:eastAsia="Arial" w:hAnsi="Arial"/>
                <w:sz w:val="20"/>
                <w:szCs w:val="20"/>
                <w:color w:val="auto"/>
              </w:rPr>
              <w:t>1,497</w:t>
            </w:r>
          </w:p>
        </w:tc>
        <w:tc>
          <w:tcPr>
            <w:tcW w:w="28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20"/>
                <w:szCs w:val="20"/>
                <w:color w:val="auto"/>
              </w:rPr>
              <w:t>—</w:t>
            </w:r>
          </w:p>
        </w:tc>
      </w:tr>
      <w:tr>
        <w:trPr>
          <w:trHeight w:val="230"/>
        </w:trPr>
        <w:tc>
          <w:tcPr>
            <w:tcW w:w="20" w:type="dxa"/>
            <w:vAlign w:val="bottom"/>
          </w:tcPr>
          <w:p>
            <w:pPr>
              <w:spacing w:after="0"/>
              <w:rPr>
                <w:sz w:val="19"/>
                <w:szCs w:val="19"/>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6,344</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20"/>
                <w:szCs w:val="20"/>
                <w:color w:val="auto"/>
              </w:rPr>
              <w:t>—</w:t>
            </w:r>
          </w:p>
        </w:tc>
      </w:tr>
      <w:tr>
        <w:trPr>
          <w:trHeight w:val="223"/>
        </w:trPr>
        <w:tc>
          <w:tcPr>
            <w:tcW w:w="20" w:type="dxa"/>
            <w:vAlign w:val="bottom"/>
          </w:tcPr>
          <w:p>
            <w:pPr>
              <w:spacing w:after="0"/>
              <w:rPr>
                <w:sz w:val="19"/>
                <w:szCs w:val="19"/>
                <w:color w:val="auto"/>
              </w:rPr>
            </w:pPr>
          </w:p>
        </w:tc>
        <w:tc>
          <w:tcPr>
            <w:tcW w:w="6420" w:type="dxa"/>
            <w:vAlign w:val="bottom"/>
          </w:tcPr>
          <w:p>
            <w:pPr>
              <w:ind w:left="700"/>
              <w:spacing w:after="0"/>
              <w:rPr>
                <w:sz w:val="20"/>
                <w:szCs w:val="20"/>
                <w:color w:val="auto"/>
              </w:rPr>
            </w:pPr>
            <w:r>
              <w:rPr>
                <w:rFonts w:ascii="Arial" w:cs="Arial" w:eastAsia="Arial" w:hAnsi="Arial"/>
                <w:sz w:val="18"/>
                <w:szCs w:val="18"/>
                <w:color w:val="auto"/>
              </w:rPr>
              <w:t>Total clinical research and development expenses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€48,641</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Other clinical research and development expenses primarily consist of share-based compensation, which is not directly related to individual drug classes and platforms.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sales and marketing expenses of our biotech business unit decreased by €2.8 million, or 57%, to €2.1 million in 2018 from €4.9 million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This decrease was primarily due to a reduction of purchased sales and marketing services.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general and administrative expenses of our biotech business unit increased by €2.7 million, or 13%, to €23.8 million in 2018 from</w:t>
      </w:r>
    </w:p>
    <w:p>
      <w:pPr>
        <w:spacing w:after="0" w:line="35"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€21.1 million in 2017. This increase was primarily due to increased purchased administrative services, information technology and office equipment as well as increased depreciation.</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24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Result</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other result of our biotech business unit increased by €2.5 million, or 154%, to income of €4.1 million in fiscal year 2018 from income of €1.6 million in fiscal year 2017. This increase was primarily attributable to an increase in government grants.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External Services Business Unit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statements of operations of our external services business unit for each period presented (in thousands):</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€ 9,443</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18,914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18,941</w:t>
            </w:r>
          </w:p>
        </w:tc>
        <w:tc>
          <w:tcPr>
            <w:tcW w:w="3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(8,603)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(6,386)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(13,358)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(9,318)</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300" w:type="dxa"/>
            <w:vAlign w:val="bottom"/>
            <w:shd w:val="clear" w:color="auto" w:fill="CCEEFF"/>
          </w:tcPr>
          <w:p>
            <w:pPr>
              <w:spacing w:after="0"/>
              <w:rPr>
                <w:sz w:val="18"/>
                <w:szCs w:val="18"/>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(1,912)</w:t>
            </w:r>
          </w:p>
        </w:tc>
        <w:tc>
          <w:tcPr>
            <w:tcW w:w="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(1,698)</w:t>
            </w: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(1,345)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(1,127)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(2,427)</w:t>
            </w: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result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CCEEFF"/>
          </w:tcPr>
          <w:p>
            <w:pPr>
              <w:spacing w:after="0"/>
              <w:rPr>
                <w:sz w:val="18"/>
                <w:szCs w:val="18"/>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(1,191</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300" w:type="dxa"/>
            <w:vAlign w:val="bottom"/>
          </w:tcPr>
          <w:p>
            <w:pPr>
              <w:spacing w:after="0"/>
              <w:rPr>
                <w:sz w:val="19"/>
                <w:szCs w:val="19"/>
                <w:color w:val="auto"/>
              </w:rPr>
            </w:pPr>
          </w:p>
        </w:tc>
      </w:tr>
    </w:tbl>
    <w:p>
      <w:pPr>
        <w:spacing w:after="0" w:line="21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Our external services business unit’s operating profit decreased by €1.4 million to an operating loss of €1.2 million as at June 30, 2019 from an operating profit of €174 thousand as at June 30, 2018. This decrease was mainly due to an increase in cost of sales and an increase in general and administrative expenses.</w:t>
      </w:r>
    </w:p>
    <w:p>
      <w:pPr>
        <w:spacing w:after="0" w:line="18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Our external services business unit’s operating profit decreased by €2.3 million, or 57%, during the year ended December 31, 2018, compared to the prior year. The decrease was primarily attributable to an increase in cost of sales by €4.0 million, or 43%, partially offset by a decrease in research and development and sales and marketing expenses in 2018 by €1.8 million, or 50%.</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Expenditures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have historically funded our operations primarily from private placements of our ordinary shares, proceeds from collaborators and services and proceeds from secured bank loans. As of June 30, 2019, we had cash and cash equivalents of €284.9 million. Cash and cash equivalents are invested in accordance with our investment policy, primarily with a view to liquidity and capital preservation, and consist primarily of cash in banks and on hand and short-term deposits with an original maturity of three months or less, which are stated at fair value.</w:t>
      </w:r>
    </w:p>
    <w:p>
      <w:pPr>
        <w:spacing w:after="0" w:line="17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maintain two secured credit facilities with Deutsche Bank AG, or Deutsche Bank, to finance the buildout of our JPT Peptide Technologies GmbH facility and Innovative Manufacturing Services GmbH (IMFS) facility. Our €10.0 million secured credit facility, entered into with Deutsche Bank by our subsidiary BioNTech Innovative Manufacturing Services GmbH, bears interest at a rate of 2.15% and matures on December 30, 2027. We have drawn €7.0 million under this facility as of June 30, 2019. The loan is repayable in equal quarterly installments of €312.5 thousand commencing on March 31, 2020. Our €9.45 million secured credit facility, entered into with Deutsche Bank by our subsidiary JPT Peptide Technologies GmbH, bears interest at a rate of 2.08% and matures on September 30, 2028. We have drawn €4.6 million as of June 30, 2019. The loan is repayable by quarterly installments of €286.4 thousand commencing on September 30, 2020. The loan is drawn as construction costs are incurred, and we expect the loan to be fully drawn at January 15, 2020. Each of these facilities is secured by liens over our property.</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primary sources and uses of cash for each period presented (in thousands):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Six Months Ended June 30,</w:t>
            </w:r>
          </w:p>
        </w:tc>
        <w:tc>
          <w:tcPr>
            <w:tcW w:w="180" w:type="dxa"/>
            <w:vAlign w:val="bottom"/>
          </w:tcPr>
          <w:p>
            <w:pPr>
              <w:spacing w:after="0"/>
              <w:rPr>
                <w:sz w:val="14"/>
                <w:szCs w:val="14"/>
                <w:color w:val="auto"/>
              </w:rPr>
            </w:pPr>
          </w:p>
        </w:tc>
        <w:tc>
          <w:tcPr>
            <w:tcW w:w="20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ind w:left="397"/>
              <w:spacing w:after="0" w:line="142" w:lineRule="exact"/>
              <w:rPr>
                <w:sz w:val="20"/>
                <w:szCs w:val="20"/>
                <w:color w:val="auto"/>
              </w:rPr>
            </w:pPr>
            <w:r>
              <w:rPr>
                <w:rFonts w:ascii="Arial" w:cs="Arial" w:eastAsia="Arial" w:hAnsi="Arial"/>
                <w:sz w:val="14"/>
                <w:szCs w:val="14"/>
                <w:b w:val="1"/>
                <w:bCs w:val="1"/>
                <w:color w:val="auto"/>
                <w:w w:val="94"/>
              </w:rPr>
              <w:t>(unaudited)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(85,689)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(69,677)</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 (58,180)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(52,562)</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(39,521)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(52,549)</w:t>
            </w: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227,736</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365,177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(1,643)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Exchange rate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(24,820)</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cash inflow (outflow)</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(126,605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121,204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€ 239,389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(131,573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derive cash flows from operations primarily from collaborations, the sale of products and services rendered. Our cash flows from operating activities are significantly influenced by our use of cash for operating expenses and working capital to support the business. We have historically experienced negative cash flows from operating activities as we have invested in the development of our technologies and manufacturing capabilities, as well as for clinical and preclinical development of our product candidates.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2019 was €85.7 million, comprising a loss before tax of €90.8 million, non-cash adjustments of €34.0 million, and a net negative change in assets and liabilities of €28.8 million. Non-cash items primarily included depreciation and share-based compensation expenses. The net negative change in assets and liabilities was primarily due to an increase in trade receivables and a decrease in payables and liabilities.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2018 was €69.7 million, comprising a loss before tax of €23.3 million, non-cash adjustments of €5.9 million, and a net negative change in assets and liabilities of €52.3 million. Non-cash items primarily included depreciation and net foreign exchange differences. The net negative change in assets and liabilities was primarily due to a decrease in trade receivables and in payables and liabilities.</w:t>
      </w:r>
    </w:p>
    <w:p>
      <w:pPr>
        <w:spacing w:after="0" w:line="187"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Net cash used in operating activities for the year ended December 31, 2018 was €58.2 million, comprising a loss before tax of €47.7 million, non-cash adjustments of €30.5 million, and a net negative change in assets and liabilities of €41.0 million. Non-cash items primarily included depreciation and share-based compensation expenses. The net negative change in assets and liabilities was primarily due to an increase in trade receivables and in payables and liabilities.</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Net cash used in operating activities for the year ended December 31, 2017 was €52.6 million, comprising a loss before tax of €85.9 million, non-cash adjustments of €43.1 million, and a net negative change in assets and liabilities of €9.8 million. Non-cash items primarily included depreciation and share-based compensation expenses and exchange rate differences. The net negative change in assets and liabilities was primarily due to a decrease in payables and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2019 was €45.8 million, of which €29.7 million was attributable to the purchase of intangible assets, including the final installment payment for the license agreement for the CellScript patent, and €10.6 million was attributable to the purchase of property, plant and equipment, partially offset by proceeds from the sale of property, plant and equipment amounting to €0.6 million.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Net cash used in investing activities for the six months ended June 30, 2018 was €39.5 million, of which €27.6 million was attributable to the purchase of intangible assets, including payment for the license agreement for the CellScript patent, and €12.3 million was attributable to the purchase of property, plant and equipment, partially offset by proceeds from the sale of property, plant and equipment amounting to €0.5 million.</w:t>
      </w:r>
    </w:p>
    <w:p>
      <w:pPr>
        <w:spacing w:after="0" w:line="166"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Net cash used in investing activities for the year ended December 31, 2018 was €67.1 million, of which €37.3 million was attributable to the purchase of intangible assets, including payment for the license agreement for the CellScript patent, and €30.6 million was attributable to the purchase of property, plant and equipment, partially offset by proceeds from the sale of property, plant and equipment amounting to €705 thousand.</w:t>
      </w:r>
    </w:p>
    <w:p>
      <w:pPr>
        <w:spacing w:after="0" w:line="14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Net cash used in investing activities for the year ended December 31, 2017 was €52.5 million, of which €33.4 million was attributable to the purchase of intangible assets, including payment for the license agreement for the CellScript patent, and €24.3 million was attributable to the purchase of property, plant and equipment, partially offset by proceeds from the sale of property, plant and equipment amounting to €5.2 million.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primary financing activities consist of issuances of share capital, proceeds from bank loans and payments of finance lease liabilities.</w:t>
      </w:r>
    </w:p>
    <w:p>
      <w:pPr>
        <w:spacing w:after="0" w:line="23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During the six months ended June 30, 2019, we generated cash from financing activities of €4.9 million, primarily from proceeds from loans and borrowings in the amount of €6.0 million, partially offset by the payment of finance lease liabilities in the amount of €1.3 million.</w:t>
      </w:r>
    </w:p>
    <w:p>
      <w:pPr>
        <w:spacing w:after="0" w:line="147"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During the six months ended June 30, 2018, we generated cash from financing activities of €227.7 million, primarily from proceeds from the issuance of shares in the amount of €228.8 million, partially offset by the payment of finance lease liabilities in the amount of €1.1 million.</w:t>
      </w:r>
    </w:p>
    <w:p>
      <w:pPr>
        <w:spacing w:after="0" w:line="124"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During the year ended December 31, 2018, we generated cash from financing activities of €365.2 million, primarily from proceeds from the issuance of shares in the amount of €361.7 million and proceeds from loans and borrowings in the amount of €5.6 million, partially offset by the payment of finance lease liabilities in the amount of €2.1 million.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had insignificant financing activities in 2017.</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Operation and Funding Requirements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Since our inception, we have incurred significant losses and negative cash flows from operations due to our significant research and development expenses and our investment in our manufacturing capabilities. We have accumulated losses of €336.5 million as of June 30, 2019 and €245.8 million as of December 31, 2018. We expect to continue to incur significant losses in the foreseeable future and expect our expenses to increase in connection with our ongoing activities, particularly as we continue research and development and clinical activities for our product candidates. In addition, upon the closing of this offering, we expect to incur additional costs associated with operating as a public company. Our expenses will also increase if, and as, we:</w:t>
      </w:r>
    </w:p>
    <w:p>
      <w:pPr>
        <w:spacing w:after="0" w:line="64" w:lineRule="exact"/>
        <w:rPr>
          <w:sz w:val="20"/>
          <w:szCs w:val="20"/>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 or expand our research or development of our programs in preclinical development;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 or expand the scope of our clinical trials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initiate additional preclinical studies or clinical or other trials for our product candidates, including under our collaboration agreements;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 to invest in our immunotherapy platforms to conduct research to identify novel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 or add to internal manufacturing capacity or capability;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change or add additional suppliers;</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add additional infrastructure to our quality control, quality assurance, legal, compliance and other groups to support our operations as we progress our product candidates toward commercialization;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attract and retain skilled personnel;</w:t>
      </w:r>
    </w:p>
    <w:p>
      <w:pPr>
        <w:spacing w:after="0" w:line="130" w:lineRule="exact"/>
        <w:rPr>
          <w:rFonts w:ascii="Arial" w:cs="Arial" w:eastAsia="Arial" w:hAnsi="Arial"/>
          <w:sz w:val="18"/>
          <w:szCs w:val="18"/>
          <w:color w:val="auto"/>
        </w:rPr>
      </w:pPr>
    </w:p>
    <w:p>
      <w:pPr>
        <w:ind w:left="1180" w:right="920" w:hanging="436"/>
        <w:spacing w:after="0" w:line="308" w:lineRule="auto"/>
        <w:tabs>
          <w:tab w:leader="none" w:pos="1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as a public company and our product development and planned future commercialization efforts, including expansion of sites in Germany and new sites in the United States;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make milestone or other payments under any in-license agreements;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maintain, protect, defend, enforce and expand our intellectual property portfolio;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are subject to all of the risks related to the development and commercialization of pharmaceutical products, and we may encounter unforeseen expenses, difficulties, complications, delays and other unknown factors that may adversely affect our business.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We believe that our existing cash and cash equivalents, together with the proceeds of this offering, will be sufficient to enable us to fund our operating expenses and capital expenditure requirements through at least the next 24 months.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31" w:lineRule="exact"/>
        <w:rPr>
          <w:sz w:val="20"/>
          <w:szCs w:val="20"/>
          <w:color w:val="auto"/>
        </w:rPr>
      </w:pPr>
    </w:p>
    <w:p>
      <w:pPr>
        <w:ind w:left="1180" w:hanging="436"/>
        <w:spacing w:after="0"/>
        <w:tabs>
          <w:tab w:leader="none" w:pos="1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preclinical or nonclinical studies and clinical trials for our product candidates;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results of research and our other platform activities;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clinical development plans we establish for our product candidates;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terms of any agreements with our current or future collaborators;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130" w:lineRule="exact"/>
        <w:rPr>
          <w:rFonts w:ascii="Arial" w:cs="Arial" w:eastAsia="Arial" w:hAnsi="Arial"/>
          <w:sz w:val="18"/>
          <w:szCs w:val="18"/>
          <w:color w:val="auto"/>
        </w:rPr>
      </w:pPr>
    </w:p>
    <w:p>
      <w:pPr>
        <w:ind w:left="1180" w:right="76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regulatory authorities;</w:t>
      </w:r>
    </w:p>
    <w:p>
      <w:pPr>
        <w:spacing w:after="0" w:line="75" w:lineRule="exact"/>
        <w:rPr>
          <w:rFonts w:ascii="Arial" w:cs="Arial" w:eastAsia="Arial" w:hAnsi="Arial"/>
          <w:sz w:val="18"/>
          <w:szCs w:val="18"/>
          <w:color w:val="auto"/>
        </w:rPr>
      </w:pPr>
    </w:p>
    <w:p>
      <w:pPr>
        <w:ind w:left="1180" w:right="40" w:hanging="436"/>
        <w:spacing w:after="0" w:line="312" w:lineRule="auto"/>
        <w:tabs>
          <w:tab w:leader="none" w:pos="11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cost of filing, prosecuting, obtaining, maintaining, protecting, defending and enforcing our patent claims and other intellectual property 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52" w:lineRule="exact"/>
        <w:rPr>
          <w:rFonts w:ascii="Arial" w:cs="Arial" w:eastAsia="Arial" w:hAnsi="Arial"/>
          <w:sz w:val="16"/>
          <w:szCs w:val="16"/>
          <w:color w:val="auto"/>
        </w:rPr>
      </w:pPr>
    </w:p>
    <w:p>
      <w:pPr>
        <w:ind w:left="1180" w:right="52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including other products that may compete with one or more of our product candidates;</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cost and timing of completion and further expansion of clinical and commercial scale manufacturing activities sufficient to support all of our current and future programs;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0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marketing approval and reimbursement in regions where we choose to commercialize our products on our own.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that have or are reasonably likely to have a current or future effect on our financial condition, revenues or expenses, results of operations, liquidity, capital expenditures or capital resources.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2018 and the effects that such obligations are expected to have on our liquidity and cash flows in future periods (in thousands):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87"/>
              </w:rPr>
              <w:t>Less</w:t>
            </w:r>
          </w:p>
        </w:tc>
        <w:tc>
          <w:tcPr>
            <w:tcW w:w="16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1 – 3</w:t>
            </w:r>
          </w:p>
        </w:tc>
        <w:tc>
          <w:tcPr>
            <w:tcW w:w="160" w:type="dxa"/>
            <w:vAlign w:val="bottom"/>
          </w:tcPr>
          <w:p>
            <w:pPr>
              <w:spacing w:after="0"/>
              <w:rPr>
                <w:sz w:val="10"/>
                <w:szCs w:val="10"/>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3 – 5</w:t>
            </w:r>
          </w:p>
        </w:tc>
        <w:tc>
          <w:tcPr>
            <w:tcW w:w="160" w:type="dxa"/>
            <w:vAlign w:val="bottom"/>
          </w:tcPr>
          <w:p>
            <w:pPr>
              <w:spacing w:after="0"/>
              <w:rPr>
                <w:sz w:val="10"/>
                <w:szCs w:val="10"/>
                <w:color w:val="auto"/>
              </w:rPr>
            </w:pPr>
          </w:p>
        </w:tc>
        <w:tc>
          <w:tcPr>
            <w:tcW w:w="62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More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than 1</w:t>
            </w: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than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Leases</w:t>
            </w:r>
          </w:p>
        </w:tc>
        <w:tc>
          <w:tcPr>
            <w:tcW w:w="2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€ 73,669</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56,524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Loans</w:t>
            </w:r>
          </w:p>
        </w:tc>
        <w:tc>
          <w:tcPr>
            <w:tcW w:w="25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€ 79,269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7"/>
              </w:rPr>
              <w:t>56,524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have lease agreements for land and buildings in all of our locations, which will expire from 2019 to 2027. In addition, we have various leases for equipment and cars which will expire in 2019 and 2020. The amounts in the table above represent our fixed contractual lease obligations and do not include the optional extensions.</w:t>
      </w:r>
    </w:p>
    <w:p>
      <w:pPr>
        <w:spacing w:after="0" w:line="18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to the above obligations, we enter into a variety of agreements and financial commitments in the normal course of business. The terms generally allow us the option to cancel, reschedule and adjust our requirements based on our business needs, prior to the delivery of goods or performance of services. It is not possible to predict the maximum potential amount of future payments under these agreements due to the conditional nature of our obligations and the unique facts and circumstances involved in each particular agreement.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Our consolidated financial statements for the six months ended June 30, 2019 and June 30, 2018, respectively, and the fiscal years ending December 31, 2018 and 2017, respectively have been prepared in accordance with IFRS, as issued by the IASB.</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preparation of the consolidated financial statements in accordance with IFRS required the use of estimates and assumptions by the management that affect the value of assets and liabilities—as well as contingent assets and liabilities—as reported on the balance sheet date, and revenues and expenses arising during the fiscal year. The main areas in which assumptions, estimates and the exercising of a degree of discretion are appropriate relate to the determination of the useful lives of non-current assets and the formation of provisions, as well as income taxes. We based our assumptions and estimates on parameters available when the consolidated financial statements were prepared. Existing circumstances and assumptions about future developments, however, may change due to market changes or circumstances arising that are beyond our control. Hence, our estimates may vary from the actual values.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We believe that the following accounting policies are critical to the process of making significant judgments and estimates in the preparation of our consolidated financial statements. We have reviewed these critical accounting policies and estimates with the audit committee of our Supervisory Board.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recognize revenue through collaboration and license agreements, rendering of services and sales of products.</w:t>
      </w:r>
    </w:p>
    <w:p>
      <w:pPr>
        <w:spacing w:after="0" w:line="22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Under our collaboration and license agreements, described in more detail in “Business—XIV. Third-Party Strategic Collaborations,” we receive milestone payments, up-front licensing payments and reimbursement of development expenses, for committing to collaborate with the respective collaborator to research and develop certain pharmaceutical products. Such collaboration agreements also include licenses of certain of our intellectual property to the respective collaborators. As these agreements comprise several promises, it must be assessed whether these promises are capable of being distinct within the context of the contract. For some agreements, this results in us accounting for all goods and services promised in a collaboration and license agreement as a single performance obligation with a single measure of progress. We determined that the grant of the license is the predominant promise within the (combined) performance obligation and the promise to grant a license is accounted for as a performance obligation satisfied over time as our customer simultaneously receives and consumes the benefits from our performance. Up-front licensing payments and reimbursement for development expenses are initially deferred on our statement of financial position and subsequently recognized as revenue over time, either as costs are incurred or over the length of the agreement, as above. Milestone payments are included in the transaction price at the amount stipulated in the respective agreement and recognized as revenue if the occurrence of reaching the future milestone is highly probable.</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collaboration and license agreements may also provide for additional profit-sharing or royalty income, to the extent a pharmaceutical product is successfully commercialized. To date, no such income has been recognized.</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provide development and manufacturing services to customers and recognize revenue over time using an input-based method to measure progress toward complete satisfaction of the service because the customer simultaneously receives and consumes the benefits provided. We recognize such revenue based on a fixed agreed amount and therefore it is not subject to estimation.</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recognize revenue from the sale of medical products (</w:t>
      </w:r>
      <w:r>
        <w:rPr>
          <w:rFonts w:ascii="Arial" w:cs="Arial" w:eastAsia="Arial" w:hAnsi="Arial"/>
          <w:sz w:val="18"/>
          <w:szCs w:val="18"/>
          <w:i w:val="1"/>
          <w:iCs w:val="1"/>
          <w:color w:val="auto"/>
        </w:rPr>
        <w:t>e.g.</w:t>
      </w:r>
      <w:r>
        <w:rPr>
          <w:rFonts w:ascii="Arial" w:cs="Arial" w:eastAsia="Arial" w:hAnsi="Arial"/>
          <w:sz w:val="18"/>
          <w:szCs w:val="18"/>
          <w:color w:val="auto"/>
        </w:rPr>
        <w:t>, peptides and retroviral vectors for clinical supply) when control has been transferred. The transaction price is quoted in the relevant price lists in force at the date of the customer placing the respective order for such products, and is not subject to significant discounts or rebates.</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For further information regarding our revenue recognition policy, please refer to Note 2.3.4 of our consolidated financial statements included elsewhere in this prospectus.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expenses are expensed as incurred.</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Employees (and others providing similar services) receive remuneration in the form of share-based payments which are settled in equity instruments (equity-settled transactions). In addition, in the past, employees and others providing similar services were granted share appreciation rights which were settled in equity instruments (equity-settled transactions).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cost of equity-settled transactions is determined by the fair value at the grant date. These costs are recognized in research and development expenses, sales and marketing expenses or general and administrative expenses, together with a corresponding increase in equity (other capital reserves), over the period in which the service is provided (the vesting period). The cumulative expense recognized for equity-settled transactions at each reporting date until the vesting date reflects the extent to which the vesting period has expired and our best estimate of the number of equity instruments that will ultimately vest. The expenses or credits in the statement of profit or loss for a period represent the movement in cumulative expense recognized as at the beginning and end of that period.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Share-Based Awards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Employee Stock Ownership Plan</w:t>
      </w:r>
    </w:p>
    <w:p>
      <w:pPr>
        <w:spacing w:after="0" w:line="117"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On November 15, 2018, we established a share option program that grants selected employees options to receive shares in the Company. The program is designed as an Employee Stock Ownership Plan and option grants are classified as share-based equity-settled remuneration. As at June 30, 2019, we had options outstanding representing 11,882,124 ordinary shares with a weighted-average exercise price of €10.141.</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share options were issued to the management board:</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Ordinary</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Options</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Price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Options</w:t>
            </w:r>
          </w:p>
        </w:tc>
        <w:tc>
          <w:tcPr>
            <w:tcW w:w="7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Prof. Ugur Sahin, M.D.</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101,686</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1,830,348</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Sean Marett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33,895</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610,110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Sierk Poetting</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33,895</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610,110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Dr. Özlem Türeci</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108,463</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1,952,334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fair value of the employee share options has been measured using a binomial model. Service conditions were not taken into account in measuring the fair value.</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option rights generally fully vest after four years (except that Dr. Türeci’s option vested on March 16, 2019 and except for one similar arrangement in the case of a senior employee) and can only be exercised if: (i) we have executed a public offering; (ii) the waiting period of four years has elapsed; and (iii) at the time of exercise, the average closing price of the shares of the Company or the average closing price of the right or certificate to be converted into an amount per share in the ten trading days preceding the exercise of the option right exceeds the strike price by a minimum of 32%, with this percentage increasing by eight percentage points as of the fifth anniversary of the respective issue date and as of each subsequent anniversary date. The option rights will be forfeited without compensation if not exercised within eight years after the allocation date. Both of these conditions have been incorporated into the fair value at grant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inputs used in the measurement of the fair values at grant date of the Employee Stock Ownership Plan were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Grant Dates</w:t>
            </w:r>
          </w:p>
        </w:tc>
        <w:tc>
          <w:tcPr>
            <w:tcW w:w="4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Grant Dates</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Grant Date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Between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Between</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21 and</w:t>
            </w:r>
          </w:p>
        </w:tc>
        <w:tc>
          <w:tcPr>
            <w:tcW w:w="4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April 29 and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15,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rPr>
              <w:t>April 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1"/>
        </w:trPr>
        <w:tc>
          <w:tcPr>
            <w:tcW w:w="33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2018</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14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14.40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15.72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4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Expected volatility (%)</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46.0%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0.05%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350"/>
        </w:trPr>
        <w:tc>
          <w:tcPr>
            <w:tcW w:w="338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share price at grant date was determined by reference to an observable transaction. We involved an independent third-party appraiser to confirm that the transaction selected was appropriate for the purposes of determining fair value. Expected volatility was based on an evaluation of the historical and the implied volatilities of comparable companies over the historical period commensurate with the expected term. The expected term was based on general optionholder behavior for employee options.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we operate and generate taxable income. Management periodically evaluates positions taken in the tax returns with respect to situations in which applicable tax regulations are subject to interpretation and establishes provisions where appropriate.</w:t>
      </w:r>
    </w:p>
    <w:p>
      <w:pPr>
        <w:spacing w:after="0" w:line="171"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Deferred tax is provided using the liability method on temporary differences between the tax bases of assets and liabilities and their carrying amounts for financial reporting purposes at the reporting date. As long as taxable profit is not probable, no tax assets are recognized.</w:t>
      </w:r>
    </w:p>
    <w:p>
      <w:pPr>
        <w:spacing w:after="0" w:line="124"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Deferred tax items are recognized in correlation with the underlying transaction either in other comprehensive income or directly in equity.</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offset deferred tax assets and deferred tax liabilities if and only if we have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standards applied for the first time as of January 1, 2019, as disclosed in note 2.5 to the consolidated financial statements as of December 31, 2018, had no impact on our interim condensed consolidated financial statements as of June 30, 2019.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Standards/Interpretation</w:t>
            </w: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Date of</w:t>
            </w: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Arial" w:cs="Arial" w:eastAsia="Arial" w:hAnsi="Arial"/>
                <w:sz w:val="14"/>
                <w:szCs w:val="14"/>
                <w:b w:val="1"/>
                <w:bCs w:val="1"/>
                <w:color w:val="auto"/>
              </w:rPr>
              <w:t>Application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IFRIC 23</w:t>
            </w:r>
          </w:p>
        </w:tc>
        <w:tc>
          <w:tcPr>
            <w:tcW w:w="62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Uncertainty over income tax treatment</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January 1, 2019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Amendments to IFRS 9</w:t>
            </w:r>
          </w:p>
        </w:tc>
        <w:tc>
          <w:tcPr>
            <w:tcW w:w="6340" w:type="dxa"/>
            <w:vAlign w:val="bottom"/>
            <w:gridSpan w:val="2"/>
          </w:tcPr>
          <w:p>
            <w:pPr>
              <w:ind w:left="180"/>
              <w:spacing w:after="0"/>
              <w:rPr>
                <w:sz w:val="20"/>
                <w:szCs w:val="20"/>
                <w:color w:val="auto"/>
              </w:rPr>
            </w:pPr>
            <w:r>
              <w:rPr>
                <w:rFonts w:ascii="Arial" w:cs="Arial" w:eastAsia="Arial" w:hAnsi="Arial"/>
                <w:sz w:val="18"/>
                <w:szCs w:val="18"/>
                <w:color w:val="auto"/>
              </w:rPr>
              <w:t>Prepayment features with negative compensation</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4"/>
              </w:rPr>
              <w:t>January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Amendments to IAS 19</w:t>
            </w:r>
          </w:p>
        </w:tc>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 amendment, curtailment or settlement</w:t>
            </w: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January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Amendments to IAS 28</w:t>
            </w:r>
          </w:p>
        </w:tc>
        <w:tc>
          <w:tcPr>
            <w:tcW w:w="6340" w:type="dxa"/>
            <w:vAlign w:val="bottom"/>
            <w:gridSpan w:val="2"/>
          </w:tcPr>
          <w:p>
            <w:pPr>
              <w:ind w:left="180"/>
              <w:spacing w:after="0"/>
              <w:rPr>
                <w:sz w:val="20"/>
                <w:szCs w:val="20"/>
                <w:color w:val="auto"/>
              </w:rPr>
            </w:pPr>
            <w:r>
              <w:rPr>
                <w:rFonts w:ascii="Arial" w:cs="Arial" w:eastAsia="Arial" w:hAnsi="Arial"/>
                <w:sz w:val="18"/>
                <w:szCs w:val="18"/>
                <w:color w:val="auto"/>
              </w:rPr>
              <w:t>Long-term interests in associates and joint ventures</w:t>
            </w:r>
          </w:p>
        </w:tc>
        <w:tc>
          <w:tcPr>
            <w:tcW w:w="1580" w:type="dxa"/>
            <w:vAlign w:val="bottom"/>
            <w:gridSpan w:val="2"/>
          </w:tcPr>
          <w:p>
            <w:pPr>
              <w:ind w:left="340"/>
              <w:spacing w:after="0"/>
              <w:rPr>
                <w:sz w:val="20"/>
                <w:szCs w:val="20"/>
                <w:color w:val="auto"/>
              </w:rPr>
            </w:pPr>
            <w:r>
              <w:rPr>
                <w:rFonts w:ascii="Arial" w:cs="Arial" w:eastAsia="Arial" w:hAnsi="Arial"/>
                <w:sz w:val="18"/>
                <w:szCs w:val="18"/>
                <w:color w:val="auto"/>
                <w:w w:val="94"/>
              </w:rPr>
              <w:t>January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6"/>
              </w:rPr>
              <w:t>Annual improvements 2015 -2017 Cycle</w:t>
            </w:r>
          </w:p>
        </w:tc>
        <w:tc>
          <w:tcPr>
            <w:tcW w:w="6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Annual improvement cycle to IFRS 2015 -2017</w:t>
            </w: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January 1, 2019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are exposed to various risks in relation to financial instruments, including liquidity risk and currency risk. Our risk management is coordinated by our executive board. We do not engage in the trading of financial assets for speculative purposes. The most significant financial risks to which we are exposed include the risks discussed below.</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subject to currency risk, as our income and expenditures are denominated in Euro and the U.S. dollar. As such, we are exposed to exchange rate fluctuations between these currencies. We aim to match U.S. dollar cash inflows with U.S. dollar cash outflows where possible, and we do not hedge this exposure. If we increase sales of our products in the United States, we would expect to have significant increases in cash balances, revenues and sales and marketing expenses denominated in U.S. dollars, while we would expect the majority of our development and operating expenses to remain denominated in Euro.</w:t>
      </w:r>
    </w:p>
    <w:p>
      <w:pPr>
        <w:spacing w:after="0" w:line="18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publish our consolidated financial statements in Euro. Revenue and expenses incurred in U.S. dollars will be translated into Euro when they are reported in our consolidated financial statements. As a result, any substantial future appreciation or decline of the U.S. dollar against the Euro could have a material effect on our revenue and profitability. As an example, if the U.S. dollar weakens by 10% against the Euro, cash and cash equivalents as of December 31, 2018 would decrease by €16.0 million, or 4%, and as of June 30, 2019 would decrease by €14.6 million, or 5%.</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Weakness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Historically, we have been a private company and did not maintain the internal accounting and financial reporting resources necessary to comply with the obligations of a public reporting company, including maintaining effective internal control over financial reporting. We identified a material weakness primarily related to (i) our lack of sufficient accounting and supervisory personnel with the appropriate level of technical accounting experience/training and (ii) our lack of consistent application of its accounting processes and procedures, particularly in the areas of share-based compensation, revenue from collaborators and capitalization of tangible and intangible assets. As of consequence of point (i) above, management relies on the assistance of outside advisors with expertise in these matters to assist in the preparation of IFRS financial statements and compliance with SEC reporting obligations in relation to our anticipated U.S. public offering. However, our lack of sufficient accounting and supervisory personnel also means there has also been a lack of supervision over external consultants. We identified several other audit adjustments including leasing, inventory and accruals, which indicate difficulties in properly applying accounting policies and processes consistently throughout the organization and omission of assessment of critical accounting guidance for complex areas or areas requiring judgments indicating inadequate supervision of its external consultants.</w:t>
      </w:r>
    </w:p>
    <w:p>
      <w:pPr>
        <w:spacing w:after="0" w:line="169"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We have begun to develop a remediation plan to address this material weakness. Our remediation plan includes the hiring of additional staff, documenting and implementing consistent accounting policies and procedures and providing additional training to our accounting and finance staff. While we are working to remediate the material weakness as quickly and efficiently as possible, we cannot at this time provide a timeline on such remediation. See our risk factor on this material weakness in “Risk Factors—Risks Related to Ownership of the ADSs and this Offering.”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and Emerging Growth Company Status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April 2012, the JOBS Act was enacted. The exemptions and reduced reporting requirements under the JOBS Act for emerging growth companies include presentation of only two years of audited financial statements in a registration statement for an initial public offering, an exemption from the requirement to provide an auditor’s report on internal control over financial reporting pursuant to Section 404(b) of the Sarbanes-Oxley Act, an exemption from any requirement that may be adopted by the Public Company Accounting Oversight Board regarding mandatory audit firm rotation, and less extensive disclosure about our executive compensation arrangements. Additionally, the JOBS Act provides that an emerging growth company can take advantage of an extended transition period for complying with new or revised accounting standards. Such provisions are only applicable under U.S. GAAP. As a result, we will adopt new or revised accounting standards on the relevant dates on which adoption of such standards is required or permitted by the IASB.</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will remain classified as an emerging growth company until the earlier of (i) the last day of the fiscal year following the fifth anniversary of the date of the completion of this offering, (ii) the last day of the first fiscal year in which our annual gross revenues exceed $1.07 billion, (iii) the date on which we have issued more than $1 billion of non-convertible debt securities during the previous three years, or (iv) the date on which we are deemed a large accelerated filer under the rules of the SEC, which means the first day of the year following the first year in which, as of the last business day of our most recently completed second fiscal quarter, the market value of our common equity that is held by non-affiliates exceeds $700 million.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BioNTech was founded in 2008 on the understanding that every cancer patient’s tumor is unique and that in order to effectively address this challenge, we must create individualized treatments for each patient. To realize this vision, we combine decades of groundbreaking research in immunology, cutting-edge therapeutic platforms, and a variety of patient profiling and bioinformatic tools to develop individualized immunotherapies for cancer as well as other diseases. We leverage powerful new therapeutic mechanisms and exploit a diverse array of biological targets to harness the power of each patient’s immune system to address the unique molecular signature of each patient’s underlying disease. We believe we are uniquely positioned to develop and commercialize the next generation of immunotherapies with the potential to significantly improve clinical outcomes for patients and usher in a new era of individualized medicine.</w:t>
      </w:r>
    </w:p>
    <w:p>
      <w:pPr>
        <w:spacing w:after="0" w:line="178"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We and our collaborators have advanced a development pipeline of over 20 product candidates, of which eight have entered into nine ongoing clinical trials. While we believe our approach is broadly applicable across a number of therapeutic areas, our most advanced programs are focused on oncology, where we have treated over 250 patients across 17 tumor types to date. Our immunotherapy drug classes consist of messenger ribonucleic acid, or mRNA, therapeutics, engineered cell therapies, antibodies and small molecule immunomodulators. Our product candidates span oncology, infectious diseases and rare diseases.</w:t>
      </w:r>
    </w:p>
    <w:p>
      <w:pPr>
        <w:spacing w:after="0" w:line="188"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We have assembled an exceptional team of over 1,100 employees and have established relationships with seven pharmaceutical collaborators, including Genentech, Inc., or Genentech, Sanofi S.A., or Sanofi, Genmab A/S, or Genmab, Genevant Sciences GmbH, or Genevant, Eli Lilly and Company, or Eli Lilly, Bayer AG, or Bayer, and Pfizer Inc., or Pfizer. We have built out comprehensive highly automated, on-demand in-house manufacturing capabilities that complement the development of our individualized immunotherapies.</w:t>
      </w:r>
    </w:p>
    <w:p>
      <w:pPr>
        <w:spacing w:after="0" w:line="17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Our programs are based on our pioneering development of numerous immunotherapeutic platforms, designed to provide patients with highly tailored treatment options. Our platforms leverage the following four drug classes:</w:t>
      </w:r>
    </w:p>
    <w:p>
      <w:pPr>
        <w:spacing w:after="0" w:line="72" w:lineRule="exact"/>
        <w:rPr>
          <w:sz w:val="20"/>
          <w:szCs w:val="20"/>
          <w:color w:val="auto"/>
        </w:rPr>
      </w:pPr>
    </w:p>
    <w:p>
      <w:pPr>
        <w:ind w:left="640" w:hanging="328"/>
        <w:spacing w:after="0" w:line="292" w:lineRule="auto"/>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mRNA Therapeutics. </w:t>
      </w:r>
      <w:r>
        <w:rPr>
          <w:rFonts w:ascii="Arial" w:cs="Arial" w:eastAsia="Arial" w:hAnsi="Arial"/>
          <w:sz w:val="16"/>
          <w:szCs w:val="16"/>
          <w:color w:val="auto"/>
        </w:rPr>
        <w:t>We are utilizing messenger ribonucleic acid, or mRNA, to deliver genetic information to cells, where it is used to express</w:t>
      </w:r>
      <w:r>
        <w:rPr>
          <w:rFonts w:ascii="Arial" w:cs="Arial" w:eastAsia="Arial" w:hAnsi="Arial"/>
          <w:sz w:val="16"/>
          <w:szCs w:val="16"/>
          <w:b w:val="1"/>
          <w:bCs w:val="1"/>
          <w:color w:val="auto"/>
        </w:rPr>
        <w:t xml:space="preserve"> </w:t>
      </w:r>
      <w:r>
        <w:rPr>
          <w:rFonts w:ascii="Arial" w:cs="Arial" w:eastAsia="Arial" w:hAnsi="Arial"/>
          <w:sz w:val="16"/>
          <w:szCs w:val="16"/>
          <w:color w:val="auto"/>
        </w:rPr>
        <w:t>proteins for therapeutic effect. We are developing a portfolio of immunotherapies that utilize four different mRNA formats and three different formulations to derive five distinct platforms for the treatment of cancer. Three of these platforms are currently in human testing: (i) our off-the-shelf shared antigen immunotherapy, or FixVac; (ii) our individualized neoantigen specific immunotherapy, or iNeST, in collaboration with Genentech; and (iii) our intratumoral immunotherapy, in collaboration with Sanofi. In addition, we are developing two platforms in which we use mRNA to express directly in the patient either (a) particular antibodies, or RiboMabs, or (b) specific cytokines, or RiboCytokines. In collaboration with Pfizer and Genevant, we are also leveraging our mRNA technology beyond oncology to treat influenza and rare diseases.</w:t>
      </w:r>
    </w:p>
    <w:p>
      <w:pPr>
        <w:spacing w:after="0" w:line="67" w:lineRule="exact"/>
        <w:rPr>
          <w:rFonts w:ascii="Arial" w:cs="Arial" w:eastAsia="Arial" w:hAnsi="Arial"/>
          <w:sz w:val="16"/>
          <w:szCs w:val="16"/>
          <w:color w:val="auto"/>
        </w:rPr>
      </w:pPr>
    </w:p>
    <w:p>
      <w:pPr>
        <w:ind w:left="640" w:right="40" w:hanging="328"/>
        <w:spacing w:after="0" w:line="261"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Engineered Cell Therapies. </w:t>
      </w:r>
      <w:r>
        <w:rPr>
          <w:rFonts w:ascii="Arial" w:cs="Arial" w:eastAsia="Arial" w:hAnsi="Arial"/>
          <w:sz w:val="18"/>
          <w:szCs w:val="18"/>
          <w:color w:val="auto"/>
        </w:rPr>
        <w:t>We are developing a range of novel cell therapies in which the patient’s T cells are modified to target cancer-specific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antigens. These include two platforms for the treatment of solid tumors: chimeric antigen receptor, or CAR, T cells and T cell receptor, or TCR, programs. We are also combining our mRNA FixVac platform with our first CAR T product candidates, using “CARVac” immune boosters to enhance the persistence of CAR-T cells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640" w:right="20" w:hanging="328"/>
        <w:spacing w:after="0" w:line="266"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Antibodies. </w:t>
      </w:r>
      <w:r>
        <w:rPr>
          <w:rFonts w:ascii="Arial" w:cs="Arial" w:eastAsia="Arial" w:hAnsi="Arial"/>
          <w:sz w:val="18"/>
          <w:szCs w:val="18"/>
          <w:color w:val="auto"/>
        </w:rPr>
        <w:t>We are developing, in collaboration with Genmab, next-generation bispecific antibodies that are designed to target immune</w:t>
      </w:r>
      <w:r>
        <w:rPr>
          <w:rFonts w:ascii="Arial" w:cs="Arial" w:eastAsia="Arial" w:hAnsi="Arial"/>
          <w:sz w:val="18"/>
          <w:szCs w:val="18"/>
          <w:b w:val="1"/>
          <w:bCs w:val="1"/>
          <w:color w:val="auto"/>
        </w:rPr>
        <w:t xml:space="preserve"> </w:t>
      </w:r>
      <w:r>
        <w:rPr>
          <w:rFonts w:ascii="Arial" w:cs="Arial" w:eastAsia="Arial" w:hAnsi="Arial"/>
          <w:sz w:val="18"/>
          <w:szCs w:val="18"/>
          <w:color w:val="auto"/>
        </w:rPr>
        <w:t>checkpoints that modulate the patient’s immune response to cancer. We are also exploring additional targeted cancer antibody approaches utilizing our in-house and recently acquired antibody capabilities.</w:t>
      </w:r>
    </w:p>
    <w:p>
      <w:pPr>
        <w:spacing w:after="0" w:line="81" w:lineRule="exact"/>
        <w:rPr>
          <w:rFonts w:ascii="Arial" w:cs="Arial" w:eastAsia="Arial" w:hAnsi="Arial"/>
          <w:sz w:val="18"/>
          <w:szCs w:val="18"/>
          <w:color w:val="auto"/>
        </w:rPr>
      </w:pPr>
    </w:p>
    <w:p>
      <w:pPr>
        <w:jc w:val="both"/>
        <w:ind w:left="640" w:right="280" w:hanging="328"/>
        <w:spacing w:after="0" w:line="266"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Small Molecule Immunomodulators. </w:t>
      </w:r>
      <w:r>
        <w:rPr>
          <w:rFonts w:ascii="Arial" w:cs="Arial" w:eastAsia="Arial" w:hAnsi="Arial"/>
          <w:sz w:val="18"/>
          <w:szCs w:val="18"/>
          <w:color w:val="auto"/>
        </w:rPr>
        <w:t>We use small molecules to augment the activity of other drug classes by inducing specific and discrete</w:t>
      </w:r>
      <w:r>
        <w:rPr>
          <w:rFonts w:ascii="Arial" w:cs="Arial" w:eastAsia="Arial" w:hAnsi="Arial"/>
          <w:sz w:val="18"/>
          <w:szCs w:val="18"/>
          <w:b w:val="1"/>
          <w:bCs w:val="1"/>
          <w:color w:val="auto"/>
        </w:rPr>
        <w:t xml:space="preserve"> </w:t>
      </w:r>
      <w:r>
        <w:rPr>
          <w:rFonts w:ascii="Arial" w:cs="Arial" w:eastAsia="Arial" w:hAnsi="Arial"/>
          <w:sz w:val="18"/>
          <w:szCs w:val="18"/>
          <w:color w:val="auto"/>
        </w:rPr>
        <w:t>patterns of immunomodulation. We are developing a small molecule toll-like receptor 7, or TLR7, immunomodulator for the treatment of solid tumors.</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leveraged these four drug classes to build a robust pipeline of product candidates. Our pipeline includes seven product candidates in eight ongoing clinical trials. Our most advanced programs are focused on oncology, where we have to-date treated over 250 patients across 17 solid tumor types. We also are developing more than 10 additional preclinical programs and expect to initiate clinical testing with several of them in the near future. We expect to have up to 10 clinical-stage programs by the end of 2019, and are targeting the advancement of five product candidates into the clinic per year in 2019 and 2020, with clinical data updates for up to five programs expected by the end of 2020. In our Phase 1 trials, we have observed antigen-specific immune responses in over 90% of advanced melanoma patients treated with BNT111, our lead FixVac off-the-shelf product candidate, as a single agent. In addition, we have observed single-agent antigen-specific immune responses in patients treated with BNT121, the precursor to RO7198457 (BNT122), our lead iNeST product candidate. In both trials, we have observed durable objective responses (reduction in tumor volume) in both the monotherapy and checkpoint-combination settings.</w:t>
      </w:r>
    </w:p>
    <w:p>
      <w:pPr>
        <w:spacing w:after="0" w:line="182" w:lineRule="exact"/>
        <w:rPr>
          <w:sz w:val="20"/>
          <w:szCs w:val="20"/>
          <w:color w:val="auto"/>
        </w:rPr>
      </w:pPr>
    </w:p>
    <w:p>
      <w:pPr>
        <w:ind w:left="200" w:right="140" w:firstLine="441"/>
        <w:spacing w:after="0" w:line="287" w:lineRule="auto"/>
        <w:rPr>
          <w:sz w:val="20"/>
          <w:szCs w:val="20"/>
          <w:color w:val="auto"/>
        </w:rPr>
      </w:pPr>
      <w:r>
        <w:rPr>
          <w:rFonts w:ascii="Arial" w:cs="Arial" w:eastAsia="Arial" w:hAnsi="Arial"/>
          <w:sz w:val="16"/>
          <w:szCs w:val="16"/>
          <w:color w:val="auto"/>
        </w:rPr>
        <w:t>We have established multiple collaborations to advance our science and development capabilities and provide non-dilutive capital. We have entered into selective collaborations with leading pharmaceutical companies where a collaborator may bring incremental expertise or resources that we currently do not possess in-house. To date, we have formed relationships with seven pharmaceutical companies, which comprise Genentech, Sanofi, Genmab, Genevant, Eli Lilly, Bayer and Pfizer. We have entered into some of these collaborations in order to advance our technologies and business outside of our initial focus on cancer. We are collaborating with Pfizer to develop an influenza vaccine through our mRNA-based immunotherapy technology and have a collaboration with Genevant to develop protein replacement therapies in up to five rare disease indications. We have also collaborated with the University of Pennsylvania, or Penn, to develop mRNA-based vaccines in up to 10 additional infectious disease indications. In addition, we have a relationship with Translational Oncology at the University Medical Center of the Johannes Gutenberg University Mainz (Translationale Onkologie an der Universitätsmedizin der Johannes Gutenberg Universität Mainz gemeinnützige GmbH), or TRON, to further our immunotherapy research. We either wholly own or retain significant rights to all of our clinical stage programs, either in the form of a global share of profit and co-commercialization rights with our collaborators in certain markets or significant royalties and milestones.</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ability to develop, control and optimize the manufacturing process is a core strategic pillar and competitive advantage across our portfolio, in particular for our individualized product candidates. We operate three Good Manufacturing Practice, or GMP, certified manufacturing facilities in Germany, where we manufacture mRNA therapeutics and engineered cell therapies for our own pipeline and for external customers. We operate a fourth manufacturing facility in Germany where we manufacture custom peptides to support our extensive immunomonitoring activities within our development programs. We have collaborated with Siemens AG, or Siemens, to develop efficient, semi-automated processes to produce our individualized mRNA immunotherapies on demand.</w:t>
      </w:r>
    </w:p>
    <w:p>
      <w:pPr>
        <w:spacing w:after="0" w:line="193"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We were founded in 2008, and to date we have raised $1.3 billion of capital in private placements of our shares and from our collaborators. Our investors include the Strüngmann family office, which is our majority shareholder, MIG Fonds, Fidelity Management &amp; Research Company, Redmile Group, Janus Henderson Investors, the Invus Group, LLC and the Bill &amp; Melinda Gates Foundation.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Team</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team combines proven biotechnology entrepreneurs, world-renowned immunologists and sophisticated biopharma investors. We were founded in 2008 by our scientific founders, Prof. Ugur Sahin, M.D., Prof. Christoph Huber, M.D. and Özlem Türeci, M.D., with a seed investment of €150 million from the Strüngmann family, through its investment vehicle AT Impf, and MIG Fonds, or MIG. Andreas and Thomas Strüngmann are serial entrepreneurs, having co-founded Hexal AG, a German pharmaceutical firm, which they built and sold to Novartis, along with their majority stake in Eon Labs, Inc., a U.S. public pharmaceutical firm, for a combined €5.6 billion (at the time, $8.3 billion). After selling Hexal, they founded a family office focused on healthcare.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The Strüngmann family office and MIG have invested in, helped build and sold, either on their own or together, a number of biotechnology and healthcare companies, such as SuppreMol, Ganymed AG, or Ganymed, CorImmun, Sivantos (former Siemens hearing aid business), Press Ganey (surgery survey company) and Apceth (cell therapy manufacturing company). Helmut Jeggle and Michael Motschmann, on behalf of the Strüngmann family and MIG, respectively, along with Dr. Huber, were founding members of our Supervisory Board.</w:t>
      </w:r>
    </w:p>
    <w:p>
      <w:pPr>
        <w:spacing w:after="0" w:line="17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BioNTech has been supported since its inception by Prof. Rolf Zinkernagel, M.D., Ph.D. and Prof. Hans Hengartner, Ph.D., who serve on our Scientific Advisory Board. Dr. Zinkernagel is a Professor Emeritus at the University of Zurich, University Hospital, and former head of the Institute of Experimental Immunology in Zurich. Prof. Zinkernagel was awarded the Nobel Prize in 1996 for the discovery of how the immune system recognizes virus-infected cells. Prof. Hengartner is a world-renowned immunologist and Professor Emeritus at the Federal Institute of Technology ETH Zurich and the University of Zurich.</w:t>
      </w:r>
    </w:p>
    <w:p>
      <w:pPr>
        <w:spacing w:after="0" w:line="188" w:lineRule="exact"/>
        <w:rPr>
          <w:sz w:val="20"/>
          <w:szCs w:val="20"/>
          <w:color w:val="auto"/>
        </w:rPr>
      </w:pPr>
    </w:p>
    <w:p>
      <w:pPr>
        <w:ind w:left="200" w:right="260" w:firstLine="441"/>
        <w:spacing w:after="0" w:line="297" w:lineRule="auto"/>
        <w:rPr>
          <w:sz w:val="20"/>
          <w:szCs w:val="20"/>
          <w:color w:val="auto"/>
        </w:rPr>
      </w:pPr>
      <w:r>
        <w:rPr>
          <w:rFonts w:ascii="Arial" w:cs="Arial" w:eastAsia="Arial" w:hAnsi="Arial"/>
          <w:sz w:val="16"/>
          <w:szCs w:val="16"/>
          <w:color w:val="auto"/>
        </w:rPr>
        <w:t>At the time of BioNTech’s founding, Dr. Sahin and Dr. Türeci were the Chief Scientific Officer and the Chief Medical Officer, respectively, of Ganymed, a private biotechnology company that was founded in 2001 and was focused on developing a monoclonal antibody targeting CLDN18.2 (zolbetuximab). The Strüngmann family office and MIG were majority investors in Ganymed. When Dr. Sahin became Chief Executive Officer of BioNTech, he stepped down from the management board of Ganymed and became the chair of its Scientific Advisory Board. Dr. Türeci continued to lead Ganymed as its Chief Executive Officer until it was sold to Astellas Pharma Inc. in 2016 for up to $1.4 billion.</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initial group of scientific founders have been joined by experienced pharmaceutical executives, immunologists and biotechnology specialty investors. Sean Marett, our Chief Business Officer and Chief Commercial Officer, led the business development teams at Evotec, and previously was an executive at GlaxoSmithKline in the United States. Dr. Sierk Poetting, our Chief Financial Officer and Chief Operating Officer, joined us from Sandoz, where he served as the Chief Financial Officer in North America. We have also attracted talented scientists such as Katalin Karikó, our Senior Vice President &amp; Head of RNA Protein Replacement, who has more than 30 years of experience working with RNA, has published more than 70 peer-reviewed papers and is co-inventor on mRNA-related patents, including a foundational patent relating to modified mRNA. In addition to the Strüngmann family and MIG, our investors include Fidelity Management &amp; Research Company, Redmile Group, Janus Henderson Investors, the Invus Group, LLC, Salvia GmbH, Eli Lilly, Sanofi, Pfizer and the Bill &amp; Melinda Gates Foundation. Since our founding, we have raised $1.3 billion of capital in private placements of our shares and through collaborations.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hanging="544"/>
        <w:spacing w:after="0"/>
        <w:tabs>
          <w:tab w:leader="none" w:pos="1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Our Pipeline of Product Candidates</w:t>
      </w:r>
    </w:p>
    <w:p>
      <w:pPr>
        <w:spacing w:after="0" w:line="9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advancing a deep and broad portfolio of product candidates derived from our four drug classes focused on the treatment of cancer, infectious and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-19050</wp:posOffset>
            </wp:positionV>
            <wp:extent cx="6037580" cy="637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7580" cy="637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116"/>
        <w:spacing w:after="0"/>
        <w:tabs>
          <w:tab w:leader="none" w:pos="320" w:val="left"/>
        </w:tabs>
        <w:numPr>
          <w:ilvl w:val="0"/>
          <w:numId w:val="85"/>
        </w:numPr>
        <w:rPr>
          <w:rFonts w:ascii="Arial" w:cs="Arial" w:eastAsia="Arial" w:hAnsi="Arial"/>
          <w:sz w:val="9"/>
          <w:szCs w:val="9"/>
          <w:color w:val="auto"/>
        </w:rPr>
      </w:pPr>
      <w:r>
        <w:rPr>
          <w:rFonts w:ascii="Arial" w:cs="Arial" w:eastAsia="Arial" w:hAnsi="Arial"/>
          <w:sz w:val="11"/>
          <w:szCs w:val="11"/>
          <w:color w:val="auto"/>
        </w:rPr>
        <w:t>BNT113 is currently being studied in an investigator-initiated Phase 1 trial</w:t>
      </w:r>
    </w:p>
    <w:p>
      <w:pPr>
        <w:spacing w:after="0" w:line="3"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0"/>
          <w:szCs w:val="10"/>
          <w:color w:val="auto"/>
        </w:rPr>
        <w:t>We are eligible to receive worldwide licenses</w:t>
      </w:r>
    </w:p>
    <w:p>
      <w:pPr>
        <w:spacing w:after="0" w:line="6"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0"/>
          <w:szCs w:val="10"/>
          <w:color w:val="auto"/>
        </w:rPr>
        <w:t>Protein Replacement Therapy</w:t>
      </w:r>
    </w:p>
    <w:p>
      <w:pPr>
        <w:spacing w:after="0" w:line="6" w:lineRule="exact"/>
        <w:rPr>
          <w:rFonts w:ascii="Arial" w:cs="Arial" w:eastAsia="Arial" w:hAnsi="Arial"/>
          <w:sz w:val="9"/>
          <w:szCs w:val="9"/>
          <w:color w:val="auto"/>
        </w:rPr>
      </w:pPr>
    </w:p>
    <w:p>
      <w:pPr>
        <w:ind w:left="200" w:right="1260"/>
        <w:spacing w:after="0" w:line="281"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0"/>
          <w:szCs w:val="10"/>
          <w:color w:val="auto"/>
        </w:rPr>
        <w:t>We expect this topline data update to include an update on the ongoing study, including patient enrollment numbers, with full efficacy and safety data for an interim update expected in the second half of 2021.</w:t>
      </w:r>
      <w:r>
        <w:rPr>
          <w:rFonts w:ascii="Arial" w:cs="Arial" w:eastAsia="Arial" w:hAnsi="Arial"/>
          <w:sz w:val="9"/>
          <w:szCs w:val="9"/>
          <w:color w:val="auto"/>
        </w:rPr>
        <w:t xml:space="preserve"> 5 </w:t>
      </w:r>
      <w:r>
        <w:rPr>
          <w:rFonts w:ascii="Arial" w:cs="Arial" w:eastAsia="Arial" w:hAnsi="Arial"/>
          <w:sz w:val="10"/>
          <w:szCs w:val="10"/>
          <w:color w:val="auto"/>
        </w:rPr>
        <w:t>As the trial is sponsored and conducted by Sanofi, the timing of data updates is not under our control, and is subject to change by Sanofi.</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560"/>
          </w:cols>
          <w:pgMar w:left="240" w:top="459" w:right="10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Oncology</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FixVac. </w:t>
      </w:r>
      <w:r>
        <w:rPr>
          <w:rFonts w:ascii="Arial" w:cs="Arial" w:eastAsia="Arial" w:hAnsi="Arial"/>
          <w:sz w:val="17"/>
          <w:szCs w:val="17"/>
          <w:color w:val="auto"/>
        </w:rPr>
        <w:t>Our FixVac product candidates contain selected combinations of pharmacologically optimized uridine mRNA encoding known cancer-specific shared antigens. They feature our proprietary immunogenic mRNA backbone and proprietary RNA-lipoplex, or RNA-LPX, delivery formulation, designed to enhance stability and translation, target dendritic cells and trigger both innate and adaptive immune responses. We are currently evaluating three FixVac product candidates in clinical trials, including BNT111 in a Phase 1 trial in advanced melanoma, BNT113 in a Phase 1 trial in HPV+ head and neck cancers and BNT114 in a Phase 1 trial in triple negative breast cancer.</w:t>
      </w:r>
    </w:p>
    <w:p>
      <w:pPr>
        <w:spacing w:after="0" w:line="173" w:lineRule="exact"/>
        <w:rPr>
          <w:sz w:val="20"/>
          <w:szCs w:val="20"/>
          <w:color w:val="auto"/>
        </w:rPr>
      </w:pPr>
    </w:p>
    <w:p>
      <w:pPr>
        <w:ind w:left="200" w:right="280" w:firstLine="441"/>
        <w:spacing w:after="0" w:line="297" w:lineRule="auto"/>
        <w:rPr>
          <w:sz w:val="20"/>
          <w:szCs w:val="20"/>
          <w:color w:val="auto"/>
        </w:rPr>
      </w:pPr>
      <w:r>
        <w:rPr>
          <w:rFonts w:ascii="Arial" w:cs="Arial" w:eastAsia="Arial" w:hAnsi="Arial"/>
          <w:sz w:val="16"/>
          <w:szCs w:val="16"/>
          <w:color w:val="auto"/>
        </w:rPr>
        <w:t>As of the July 2019 interim cut-off, 95 patients with metastatic melanoma had been dosed at least once in our Phase 1 clinical trial of BNT111. Forty-two of these patients had macroscopic tumor lesions at the time they were enrolled, and these patients were evaluated for preliminary clinical activity, with 25 receiving BNT111 as a monotherapy and 17 receiving BNT in combination with a checkpoint inhibitor. Four of the 25 patients who received BNT111 as a monotherapy demonstrated a partial response and seven had stable disease following treatment. Six of the 17 patients who received BNT111 in combination with a checkpoint inhibitor demonstrated a partial response and two had stable disease following treatment.</w:t>
      </w:r>
    </w:p>
    <w:p>
      <w:pPr>
        <w:spacing w:after="0" w:line="15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expect to initiate a Phase 2 trial for BNT111 in metastatic melanoma in the first half of 2020. Moreover, we plan to initiate a registrational, randomized Phase 3 trial for BNT111 in the second half of 2020. We plan to initiate a Phase 1 trial for BNT112, our FixVac product candidate targeting prostate cancer, in the second half of 2019. In addition, we are planning to initiate a Phase 2 trial for BNT113 in HPV+ head and neck cancers by the second half of 2020.</w:t>
      </w:r>
    </w:p>
    <w:p>
      <w:pPr>
        <w:spacing w:after="0" w:line="18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i w:val="1"/>
          <w:iCs w:val="1"/>
          <w:color w:val="auto"/>
        </w:rPr>
        <w:t xml:space="preserve">Individualized neoantigen specific immunotherapy (iNeST). </w:t>
      </w:r>
      <w:r>
        <w:rPr>
          <w:rFonts w:ascii="Arial" w:cs="Arial" w:eastAsia="Arial" w:hAnsi="Arial"/>
          <w:sz w:val="17"/>
          <w:szCs w:val="17"/>
          <w:color w:val="auto"/>
        </w:rPr>
        <w:t>Our iNeST immunotherapies contain unmodified, pharmacologically optimized</w:t>
      </w:r>
      <w:r>
        <w:rPr>
          <w:rFonts w:ascii="Arial" w:cs="Arial" w:eastAsia="Arial" w:hAnsi="Arial"/>
          <w:sz w:val="17"/>
          <w:szCs w:val="17"/>
          <w:i w:val="1"/>
          <w:iCs w:val="1"/>
          <w:color w:val="auto"/>
        </w:rPr>
        <w:t xml:space="preserve"> </w:t>
      </w:r>
      <w:r>
        <w:rPr>
          <w:rFonts w:ascii="Arial" w:cs="Arial" w:eastAsia="Arial" w:hAnsi="Arial"/>
          <w:sz w:val="17"/>
          <w:szCs w:val="17"/>
          <w:color w:val="auto"/>
        </w:rPr>
        <w:t>mRNA encoding up to 20 patient-specific neoantigens and also feature our proprietary RNA-LPX formulation. We are conducting, in collaboration with Genentech, clinical trials of our iNeST product candidate, RO7198457 (BNT122). The iNeST Phase 1a (monotherapy)/1b (in combination with atezolizumab) trial is a non-registrational, signal seeking study recruiting mostly patients with late stage advanced cancers, including patients that failed multiple lines of prior treatment. We believe that iNeST is particularly well suited for patients with a lower tumor burden. This notion is supported by clinical activity shown in our previously reported Phase 1 trial, in which BNT121, an earlier version of our iNeST product candidate BNT122 was administered intranodally in 13 patients with metastatic melanoma. In this trial, we observed stable, progression-free survival in nine patients for up to 41 months following surgery and treatment with BNT121. In addition, three out of five patients had an objective response, two patients received iNeST alone and the third patient also received checkpoint immunotherapy. We also observed a significant decrease in the cumulative recurrence rate post-treatment as compared to pre-treatment. Based on these findings, we, in collaboration with Genentech, initiated a randomized iNeST Phase 2 trial in first-line metastatic melanoma in combination with pembrolizumab. We and Genentech expect to report a data update from our RO7198457 (BNT122) Phase 1 trial in multiple solid tumors in 2020, and topline data update from our RO7198457 (BNT122) Phase 2 trial in first-line melanoma in the second half of 2020. We expect this topline data update to include an update on the ongoing study, including patient enrollment numbers, with full efficacy and safety data for an interim update expected in the second half of 2021.</w:t>
      </w:r>
    </w:p>
    <w:p>
      <w:pPr>
        <w:spacing w:after="0" w:line="18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mRNA intratumoral immunotherapy. </w:t>
      </w:r>
      <w:r>
        <w:rPr>
          <w:rFonts w:ascii="Arial" w:cs="Arial" w:eastAsia="Arial" w:hAnsi="Arial"/>
          <w:sz w:val="18"/>
          <w:szCs w:val="18"/>
          <w:color w:val="auto"/>
        </w:rPr>
        <w:t>In collaboration with Sanofi, we are conducting a Phase 1 trial of SAR441000 (BNT131), our first mRNA-based intratumoral immunotherapy, as a monotherapy and in combination with cemiplimab in patients with solid tumors. SAR441000 (BMT131) consists of a modified mRNA that encodes the IL-12sc, IL-15sushi, GM-CSF and IFN-α cytokines. SAR441000 (BNT131) is designed to be administered directly into the tumor in order to alter the tumor microenvironment and enhance the immune system’s ability to recognize and fight cancer within the tumor (proximal) as well as in other untreated locations (distal).</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i w:val="1"/>
          <w:iCs w:val="1"/>
          <w:color w:val="auto"/>
        </w:rPr>
        <w:t xml:space="preserve">CLDN6 CAR-T cell immunotherapy. </w:t>
      </w:r>
      <w:r>
        <w:rPr>
          <w:rFonts w:ascii="Arial" w:cs="Arial" w:eastAsia="Arial" w:hAnsi="Arial"/>
          <w:sz w:val="17"/>
          <w:szCs w:val="17"/>
          <w:color w:val="auto"/>
        </w:rPr>
        <w:t>We are developing a proprietary chimeric antigen receptor T cell, or CAR T, product candidate, BNT211,</w:t>
      </w:r>
      <w:r>
        <w:rPr>
          <w:rFonts w:ascii="Arial" w:cs="Arial" w:eastAsia="Arial" w:hAnsi="Arial"/>
          <w:sz w:val="17"/>
          <w:szCs w:val="17"/>
          <w:i w:val="1"/>
          <w:iCs w:val="1"/>
          <w:color w:val="auto"/>
        </w:rPr>
        <w:t xml:space="preserve"> </w:t>
      </w:r>
      <w:r>
        <w:rPr>
          <w:rFonts w:ascii="Arial" w:cs="Arial" w:eastAsia="Arial" w:hAnsi="Arial"/>
          <w:sz w:val="17"/>
          <w:szCs w:val="17"/>
          <w:color w:val="auto"/>
        </w:rPr>
        <w:t>targeting Claudin-6, or CLDN6, a novel solid tumor-specific antigen. We developed BNT211 utilizing our target discovery engine, and we plan to administer it along with a CARVac “primer” to boost the immune response and promote CAR-T cell persistence. We expect to initiate a Phase 1/2 clinical trial for BNT211 in patients with advanced CLDN6 + solid tumors in the first half of 2020.</w:t>
      </w:r>
    </w:p>
    <w:p>
      <w:pPr>
        <w:spacing w:after="0" w:line="17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Next-generation checkpoint immunomodulators. </w:t>
      </w:r>
      <w:r>
        <w:rPr>
          <w:rFonts w:ascii="Arial" w:cs="Arial" w:eastAsia="Arial" w:hAnsi="Arial"/>
          <w:sz w:val="18"/>
          <w:szCs w:val="18"/>
          <w:color w:val="auto"/>
        </w:rPr>
        <w:t>We are developing, in collaboration with Genmab, novel next-generation bispecific antibodies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designed for conditional activation of immunostimulatory checkpoint molecules. Our first bispecific candidates are GEN1046 (BNT311), which targets PD-L1 in conjunction with 4-1BB, and GEN1042 (BNT312), which targets CD40 in conjunction with 4-1BB. While 4-1BB is a known immune checkpoint target that is expressed on T cells and natural killer, or NK, cells, prior attempts to target 4-1BB with monoclonal antibodies have been severely limited by liver toxicities. Our 4-1BB targeting product candidates are designed to avoid toxicities by conditionally activating a 4-1BB receptor only together with the binding of either PD-L1 or CD40. We have initiated Phase 1/2a trials of GEN1046 (BNT311) and GEN1042 (BNT312) in solid tumors.</w:t>
      </w:r>
    </w:p>
    <w:p>
      <w:pPr>
        <w:spacing w:after="0" w:line="18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 xml:space="preserve">Targeted Cancer Antibodies. </w:t>
      </w:r>
      <w:r>
        <w:rPr>
          <w:rFonts w:ascii="Arial" w:cs="Arial" w:eastAsia="Arial" w:hAnsi="Arial"/>
          <w:sz w:val="18"/>
          <w:szCs w:val="18"/>
          <w:color w:val="auto"/>
        </w:rPr>
        <w:t>We recently acquired an antibody with a novel mode of action, MVT-5873 (BNT321). BNT321 is a fully human</w:t>
      </w:r>
      <w:r>
        <w:rPr>
          <w:rFonts w:ascii="Arial" w:cs="Arial" w:eastAsia="Arial" w:hAnsi="Arial"/>
          <w:sz w:val="18"/>
          <w:szCs w:val="18"/>
          <w:i w:val="1"/>
          <w:iCs w:val="1"/>
          <w:color w:val="auto"/>
        </w:rPr>
        <w:t xml:space="preserve"> </w:t>
      </w:r>
      <w:r>
        <w:rPr>
          <w:rFonts w:ascii="Arial" w:cs="Arial" w:eastAsia="Arial" w:hAnsi="Arial"/>
          <w:sz w:val="18"/>
          <w:szCs w:val="18"/>
          <w:color w:val="auto"/>
        </w:rPr>
        <w:t>IgG1 monoclonal antibody targeting sialyl Lewis A (sLe</w:t>
      </w:r>
      <w:r>
        <w:rPr>
          <w:rFonts w:ascii="Arial" w:cs="Arial" w:eastAsia="Arial" w:hAnsi="Arial"/>
          <w:sz w:val="15"/>
          <w:szCs w:val="15"/>
          <w:color w:val="auto"/>
        </w:rPr>
        <w:t>a</w:t>
      </w:r>
      <w:r>
        <w:rPr>
          <w:rFonts w:ascii="Arial" w:cs="Arial" w:eastAsia="Arial" w:hAnsi="Arial"/>
          <w:sz w:val="18"/>
          <w:szCs w:val="18"/>
          <w:color w:val="auto"/>
        </w:rPr>
        <w:t>), a novel epitope expressed specifically in pancreatic and other solid tumors. MVT-5873 (BNT321) is currently in Phase 1 clinical development in pancreatic cancer, which we intend to resume in the second half of 2019 once we have successfully registered the transfer of the IND to us and filed all necessary safety and other reports with FDA. Positive interim data were announced in February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we have several other cancer immunotherapy programs in development, including:</w:t>
      </w:r>
    </w:p>
    <w:p>
      <w:pPr>
        <w:spacing w:after="0" w:line="131" w:lineRule="exact"/>
        <w:rPr>
          <w:sz w:val="20"/>
          <w:szCs w:val="20"/>
          <w:color w:val="auto"/>
        </w:rPr>
      </w:pPr>
    </w:p>
    <w:p>
      <w:pPr>
        <w:ind w:left="640" w:right="200" w:hanging="328"/>
        <w:spacing w:after="0" w:line="308" w:lineRule="auto"/>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RiboMabs</w:t>
      </w:r>
      <w:r>
        <w:rPr>
          <w:rFonts w:ascii="Arial" w:cs="Arial" w:eastAsia="Arial" w:hAnsi="Arial"/>
          <w:sz w:val="17"/>
          <w:szCs w:val="17"/>
          <w:color w:val="auto"/>
        </w:rPr>
        <w:t>: novel classes of mRNA-based therapeutics that are designed to encode antibodies directly in the patient’s body. We expect to initiate</w:t>
      </w:r>
      <w:r>
        <w:rPr>
          <w:rFonts w:ascii="Arial" w:cs="Arial" w:eastAsia="Arial" w:hAnsi="Arial"/>
          <w:sz w:val="17"/>
          <w:szCs w:val="17"/>
          <w:i w:val="1"/>
          <w:iCs w:val="1"/>
          <w:color w:val="auto"/>
        </w:rPr>
        <w:t xml:space="preserve"> </w:t>
      </w:r>
      <w:r>
        <w:rPr>
          <w:rFonts w:ascii="Arial" w:cs="Arial" w:eastAsia="Arial" w:hAnsi="Arial"/>
          <w:sz w:val="17"/>
          <w:szCs w:val="17"/>
          <w:color w:val="auto"/>
        </w:rPr>
        <w:t>Phase 1 clinical trials for our first two RiboMab product candidates, BNT141 and BNT142, in the second half of 2020.</w:t>
      </w:r>
    </w:p>
    <w:p>
      <w:pPr>
        <w:spacing w:after="0" w:line="51" w:lineRule="exact"/>
        <w:rPr>
          <w:rFonts w:ascii="Arial" w:cs="Arial" w:eastAsia="Arial" w:hAnsi="Arial"/>
          <w:sz w:val="17"/>
          <w:szCs w:val="17"/>
          <w:color w:val="auto"/>
        </w:rPr>
      </w:pPr>
    </w:p>
    <w:p>
      <w:pPr>
        <w:ind w:left="640" w:right="340" w:hanging="328"/>
        <w:spacing w:after="0" w:line="264"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RiboCytokines</w:t>
      </w:r>
      <w:r>
        <w:rPr>
          <w:rFonts w:ascii="Arial" w:cs="Arial" w:eastAsia="Arial" w:hAnsi="Arial"/>
          <w:sz w:val="18"/>
          <w:szCs w:val="18"/>
          <w:color w:val="auto"/>
        </w:rPr>
        <w:t>: novel classes of mRNA-based therapeutics that are designed to encode cytokines directly in the patient’s body.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initiate Phase 1 clinical trials for our first two RiboCytokine product candidates, BNT151 and BNT152, in the first and second halves of 2020, respectively.</w:t>
      </w:r>
    </w:p>
    <w:p>
      <w:pPr>
        <w:spacing w:after="0" w:line="86" w:lineRule="exact"/>
        <w:rPr>
          <w:rFonts w:ascii="Arial" w:cs="Arial" w:eastAsia="Arial" w:hAnsi="Arial"/>
          <w:sz w:val="18"/>
          <w:szCs w:val="18"/>
          <w:color w:val="auto"/>
        </w:rPr>
      </w:pPr>
    </w:p>
    <w:p>
      <w:pPr>
        <w:ind w:left="640" w:hanging="328"/>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TCR therapy</w:t>
      </w:r>
      <w:r>
        <w:rPr>
          <w:rFonts w:ascii="Arial" w:cs="Arial" w:eastAsia="Arial" w:hAnsi="Arial"/>
          <w:sz w:val="18"/>
          <w:szCs w:val="18"/>
          <w:color w:val="auto"/>
        </w:rPr>
        <w:t>: T cells with engineered TCRs that are designed to specifically target cancer cells.</w:t>
      </w:r>
    </w:p>
    <w:p>
      <w:pPr>
        <w:spacing w:after="0" w:line="130" w:lineRule="exact"/>
        <w:rPr>
          <w:rFonts w:ascii="Arial" w:cs="Arial" w:eastAsia="Arial" w:hAnsi="Arial"/>
          <w:sz w:val="18"/>
          <w:szCs w:val="18"/>
          <w:color w:val="auto"/>
        </w:rPr>
      </w:pPr>
    </w:p>
    <w:p>
      <w:pPr>
        <w:ind w:left="640" w:right="320" w:hanging="328"/>
        <w:spacing w:after="0" w:line="264"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Small molecule immunomodulators</w:t>
      </w:r>
      <w:r>
        <w:rPr>
          <w:rFonts w:ascii="Arial" w:cs="Arial" w:eastAsia="Arial" w:hAnsi="Arial"/>
          <w:sz w:val="18"/>
          <w:szCs w:val="18"/>
          <w:color w:val="auto"/>
        </w:rPr>
        <w:t>: novel intratumoral agents that trigger inflammation and improvement of antigen presentation by antigen-presenting cells. We expect to initiate a Phase 1 clinical trial for our first small molecule immunomodulator product candidate, BNT411, in the first half of 2020.</w:t>
      </w:r>
    </w:p>
    <w:p>
      <w:pPr>
        <w:spacing w:after="0" w:line="330" w:lineRule="exact"/>
        <w:rPr>
          <w:sz w:val="20"/>
          <w:szCs w:val="20"/>
          <w:color w:val="auto"/>
        </w:rPr>
      </w:pPr>
    </w:p>
    <w:p>
      <w:pPr>
        <w:ind w:left="1620" w:hanging="430"/>
        <w:spacing w:after="0"/>
        <w:tabs>
          <w:tab w:leader="none" w:pos="162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Infectious Disease Immunotherapies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have collaborated with third parties to exploit the immunotherapeutic properties of our mRNA drug class for the treatment and prevention of infectious diseases. We expect to advance our flu vaccine into the clinic by the end of 2020, and our first programs under our Penn collaboration into the clinic by the first half of 2021.</w:t>
      </w:r>
    </w:p>
    <w:p>
      <w:pPr>
        <w:spacing w:after="0" w:line="87" w:lineRule="exact"/>
        <w:rPr>
          <w:sz w:val="20"/>
          <w:szCs w:val="20"/>
          <w:color w:val="auto"/>
        </w:rPr>
      </w:pPr>
    </w:p>
    <w:p>
      <w:pPr>
        <w:ind w:left="640" w:right="440" w:hanging="328"/>
        <w:spacing w:after="0" w:line="277"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Flu vaccine</w:t>
      </w:r>
      <w:r>
        <w:rPr>
          <w:rFonts w:ascii="Arial" w:cs="Arial" w:eastAsia="Arial" w:hAnsi="Arial"/>
          <w:sz w:val="18"/>
          <w:szCs w:val="18"/>
          <w:color w:val="auto"/>
        </w:rPr>
        <w:t>: In August 2018, we entered into a collaboration with Pfizer to the develop mRNA-based immunotherapies for the prevention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influenza.</w:t>
      </w:r>
    </w:p>
    <w:p>
      <w:pPr>
        <w:spacing w:after="0" w:line="75" w:lineRule="exact"/>
        <w:rPr>
          <w:rFonts w:ascii="Arial" w:cs="Arial" w:eastAsia="Arial" w:hAnsi="Arial"/>
          <w:sz w:val="18"/>
          <w:szCs w:val="18"/>
          <w:color w:val="auto"/>
        </w:rPr>
      </w:pPr>
    </w:p>
    <w:p>
      <w:pPr>
        <w:ind w:left="640" w:hanging="328"/>
        <w:spacing w:after="0" w:line="259" w:lineRule="auto"/>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Infectious diseases</w:t>
      </w:r>
      <w:r>
        <w:rPr>
          <w:rFonts w:ascii="Arial" w:cs="Arial" w:eastAsia="Arial" w:hAnsi="Arial"/>
          <w:sz w:val="18"/>
          <w:szCs w:val="18"/>
          <w:color w:val="auto"/>
        </w:rPr>
        <w:t>: In October 2018, we entered into a research collaboration with Penn, under which we have the exclusive option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mRNA immunotherapies for the treatment of up to 10 infectious disease indications. 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Rare Disease Protein Replacement Therapies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collaborating with Genevant in order to capitalize on opportunities for our mRNA technology in rare disease indications potentially featuring expedited paths to market. We are combining our mRNA technology with Genevant’s lipid nanoparticle, or LNP, delivery technology to create up to five mRNA protein replacement therapies for the treatment of rare diseases with high unmet medical needs. We expect our first compound to enter the clinic in the second half of 2020.</w:t>
      </w:r>
    </w:p>
    <w:p>
      <w:pPr>
        <w:spacing w:after="0" w:line="331"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are developing a broad portfolio of technologies and product candidates that we believe position us at the forefront of the next generation of targeted, specific immunotherapies. Our key strengths include:</w:t>
      </w:r>
    </w:p>
    <w:p>
      <w:pPr>
        <w:spacing w:after="0" w:line="279" w:lineRule="exact"/>
        <w:rPr>
          <w:sz w:val="20"/>
          <w:szCs w:val="20"/>
          <w:color w:val="auto"/>
        </w:rPr>
      </w:pPr>
    </w:p>
    <w:p>
      <w:pPr>
        <w:ind w:left="200" w:right="740"/>
        <w:spacing w:after="0" w:line="277" w:lineRule="auto"/>
        <w:rPr>
          <w:sz w:val="20"/>
          <w:szCs w:val="20"/>
          <w:color w:val="auto"/>
        </w:rPr>
      </w:pPr>
      <w:r>
        <w:rPr>
          <w:rFonts w:ascii="Arial" w:cs="Arial" w:eastAsia="Arial" w:hAnsi="Arial"/>
          <w:sz w:val="18"/>
          <w:szCs w:val="18"/>
          <w:b w:val="1"/>
          <w:bCs w:val="1"/>
          <w:i w:val="1"/>
          <w:iCs w:val="1"/>
          <w:color w:val="auto"/>
        </w:rPr>
        <w:t>We are a next-generation immunotherapy powerhouse pioneering individualized immunotherapies to address the shortcomings of existing treatments for cancer and other indications with significant unmet need.</w:t>
      </w:r>
    </w:p>
    <w:p>
      <w:pPr>
        <w:spacing w:after="0" w:line="76" w:lineRule="exact"/>
        <w:rPr>
          <w:sz w:val="20"/>
          <w:szCs w:val="20"/>
          <w:color w:val="auto"/>
        </w:rPr>
      </w:pPr>
    </w:p>
    <w:p>
      <w:pPr>
        <w:ind w:left="640" w:right="100" w:hanging="328"/>
        <w:spacing w:after="0" w:line="264"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have established leadership and expertise in immunology and oncology. Through 11 years of rigorous scientific investigation and clinical translation, we have developed a portfolio of disruptive immunotherapy technologies designed to address the challenges of disease heterogeneity and patient variability.</w:t>
      </w:r>
    </w:p>
    <w:p>
      <w:pPr>
        <w:spacing w:after="0" w:line="86" w:lineRule="exact"/>
        <w:rPr>
          <w:rFonts w:ascii="Arial" w:cs="Arial" w:eastAsia="Arial" w:hAnsi="Arial"/>
          <w:sz w:val="18"/>
          <w:szCs w:val="18"/>
          <w:color w:val="auto"/>
        </w:rPr>
      </w:pPr>
    </w:p>
    <w:p>
      <w:pPr>
        <w:jc w:val="both"/>
        <w:ind w:left="640" w:right="120" w:hanging="328"/>
        <w:spacing w:after="0" w:line="286" w:lineRule="auto"/>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Our team has consistently been first-movers and has published over 150 scientific papers in leading peer-reviewed journals. We were the first to develop an intravenously delivered mRNA-based human therapeutic, the first to advance an individualized mRNA-based cancer immunotherapy into clinical trials, and the first to establish scaled in-house manufacturing for such a product candidate.</w:t>
      </w:r>
    </w:p>
    <w:p>
      <w:pPr>
        <w:spacing w:after="0" w:line="70" w:lineRule="exact"/>
        <w:rPr>
          <w:rFonts w:ascii="Arial" w:cs="Arial" w:eastAsia="Arial" w:hAnsi="Arial"/>
          <w:sz w:val="17"/>
          <w:szCs w:val="17"/>
          <w:color w:val="auto"/>
        </w:rPr>
      </w:pPr>
    </w:p>
    <w:p>
      <w:pPr>
        <w:ind w:left="640" w:right="80" w:hanging="328"/>
        <w:spacing w:after="0" w:line="259"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Since our founding in 2008, we have advanced four of our therapeutic platforms into human clinical trials, generated promising early evidence of clinical activity in several cancer types, raised $1.3 billion of capital from renowned global biopharmaceutical investors, formed collaborations with seven leading pharmaceutical companies, and acquired complementary assets ranging from research and manufacturing units to clinical programs.</w:t>
      </w:r>
    </w:p>
    <w:p>
      <w:pPr>
        <w:spacing w:after="0" w:line="92" w:lineRule="exact"/>
        <w:rPr>
          <w:rFonts w:ascii="Arial" w:cs="Arial" w:eastAsia="Arial" w:hAnsi="Arial"/>
          <w:sz w:val="18"/>
          <w:szCs w:val="18"/>
          <w:color w:val="auto"/>
        </w:rPr>
      </w:pPr>
    </w:p>
    <w:p>
      <w:pPr>
        <w:ind w:left="640" w:right="600" w:hanging="328"/>
        <w:spacing w:after="0" w:line="277"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efforts are driven by a group of over 1,100 employees including over 400 scientists, overseen by our founders who are internationally recognized thought leaders in their disciplines.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are developing product candidates addressing highly specific immuno-oncology targets, employing a technology-agnostic approach.</w:t>
      </w:r>
    </w:p>
    <w:p>
      <w:pPr>
        <w:spacing w:after="0" w:line="154" w:lineRule="exact"/>
        <w:rPr>
          <w:sz w:val="20"/>
          <w:szCs w:val="20"/>
          <w:color w:val="auto"/>
        </w:rPr>
      </w:pPr>
    </w:p>
    <w:p>
      <w:pPr>
        <w:ind w:left="640" w:right="1300" w:hanging="328"/>
        <w:spacing w:after="0" w:line="308" w:lineRule="auto"/>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Our portfolio includes four drug classes, spanning mRNA therapeutics, engineered cell therapies, antibodies and small molecule immunomodulators, which can potentially be used alone or in combination to enhance therapeutic effect.</w:t>
      </w:r>
    </w:p>
    <w:p>
      <w:pPr>
        <w:spacing w:after="0" w:line="51" w:lineRule="exact"/>
        <w:rPr>
          <w:rFonts w:ascii="Arial" w:cs="Arial" w:eastAsia="Arial" w:hAnsi="Arial"/>
          <w:sz w:val="17"/>
          <w:szCs w:val="17"/>
          <w:color w:val="auto"/>
        </w:rPr>
      </w:pPr>
    </w:p>
    <w:p>
      <w:pPr>
        <w:ind w:left="640" w:hanging="328"/>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oncology pipeline includes eight product candidates in nine ongoing clinical trials, and more than 10 preclinical programs.</w:t>
      </w:r>
    </w:p>
    <w:p>
      <w:pPr>
        <w:spacing w:after="0" w:line="130" w:lineRule="exact"/>
        <w:rPr>
          <w:rFonts w:ascii="Arial" w:cs="Arial" w:eastAsia="Arial" w:hAnsi="Arial"/>
          <w:sz w:val="18"/>
          <w:szCs w:val="18"/>
          <w:color w:val="auto"/>
        </w:rPr>
      </w:pPr>
    </w:p>
    <w:p>
      <w:pPr>
        <w:ind w:left="640" w:right="60" w:hanging="328"/>
        <w:spacing w:after="0" w:line="264"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have developed significant expertise in the selection of optimal combinations of targets for the specific and individualized treatment of particular cancers. We have assembled libraries of more than 200 proprietary or known shared antigens and have developed predictive algorithms capable of efficiently identifying multiple neoantigens on an individualized basis for any patient.</w:t>
      </w:r>
    </w:p>
    <w:p>
      <w:pPr>
        <w:spacing w:after="0" w:line="86" w:lineRule="exact"/>
        <w:rPr>
          <w:rFonts w:ascii="Arial" w:cs="Arial" w:eastAsia="Arial" w:hAnsi="Arial"/>
          <w:sz w:val="18"/>
          <w:szCs w:val="18"/>
          <w:color w:val="auto"/>
        </w:rPr>
      </w:pPr>
    </w:p>
    <w:p>
      <w:pPr>
        <w:ind w:left="640" w:right="460" w:hanging="328"/>
        <w:spacing w:after="0" w:line="277" w:lineRule="auto"/>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approach enables real-time monitoring of therapeutic effect on the immune system in a feedback loop of biological surveillance that we believe has the potential to further enhance the success of individualized immunotherapy approaches.</w:t>
      </w:r>
    </w:p>
    <w:p>
      <w:pPr>
        <w:spacing w:after="0" w:line="279"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have tested our lead mRNA candidates in over 250 patients and have already demonstrated signs of single-agent clinical activity in our two lead programs.</w:t>
      </w:r>
    </w:p>
    <w:p>
      <w:pPr>
        <w:spacing w:after="0" w:line="76" w:lineRule="exact"/>
        <w:rPr>
          <w:sz w:val="20"/>
          <w:szCs w:val="20"/>
          <w:color w:val="auto"/>
        </w:rPr>
      </w:pPr>
    </w:p>
    <w:p>
      <w:pPr>
        <w:ind w:left="5580" w:right="1140" w:hanging="5268"/>
        <w:spacing w:after="0" w:line="449" w:lineRule="auto"/>
        <w:tabs>
          <w:tab w:leader="none" w:pos="637"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most advanced programs are focused on oncology where we have to-date dosed over 250 patients across 17 solid tumor types. 135</w:t>
      </w:r>
    </w:p>
    <w:p>
      <w:pPr>
        <w:sectPr>
          <w:pgSz w:w="11900" w:h="16838" w:orient="portrait"/>
          <w:cols w:equalWidth="0" w:num="1">
            <w:col w:w="11180"/>
          </w:cols>
          <w:pgMar w:left="24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328"/>
        <w:spacing w:after="0" w:line="257" w:lineRule="auto"/>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our Phase 1 trials, we observed single-agent antigen specific immune responses in over 90% of advanced melanoma patients treated with BNT111, our lead off-the-shelf immunotherapy product candidate leveraging our wholly-owned FixVac platform. In addition, we observed single-agent antigen-specific immune responses in patients treated with BNT121, the precursor to our lead individualized neoantigen specific immunotherapy product candidate derived from our iNeST platform. For both candidates, we have observed durable objective responses in both the monotherapy and checkpoint combination settings.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developed a very broad and advanced mRNA therapeutic portfolio for the treatment of cancer.</w:t>
      </w:r>
    </w:p>
    <w:p>
      <w:pPr>
        <w:spacing w:after="0" w:line="131" w:lineRule="exact"/>
        <w:rPr>
          <w:sz w:val="20"/>
          <w:szCs w:val="20"/>
          <w:color w:val="auto"/>
        </w:rPr>
      </w:pPr>
    </w:p>
    <w:p>
      <w:pPr>
        <w:ind w:left="640" w:right="160" w:hanging="328"/>
        <w:spacing w:after="0" w:line="277"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have over a decade of experience pioneering the use of mRNA as a drug class, yielding five distinct mRNA platforms in oncology, each with the potential to generate multiple first-in-class product candidates.</w:t>
      </w:r>
    </w:p>
    <w:p>
      <w:pPr>
        <w:spacing w:after="0" w:line="75" w:lineRule="exact"/>
        <w:rPr>
          <w:rFonts w:ascii="Arial" w:cs="Arial" w:eastAsia="Arial" w:hAnsi="Arial"/>
          <w:sz w:val="18"/>
          <w:szCs w:val="18"/>
          <w:color w:val="auto"/>
        </w:rPr>
      </w:pPr>
    </w:p>
    <w:p>
      <w:pPr>
        <w:ind w:left="640" w:right="640" w:hanging="328"/>
        <w:spacing w:after="0" w:line="264"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have developed four distinct mRNA formats, each tailored to specific therapeutic applications. We have also developed and optimized multiple delivery formulations for our mRNA product candidates, including our proprietary non-viral RNA-LPX, to deliver our mRNA systemically and target it to relevant organs in the body.</w:t>
      </w:r>
    </w:p>
    <w:p>
      <w:pPr>
        <w:spacing w:after="0" w:line="86" w:lineRule="exact"/>
        <w:rPr>
          <w:rFonts w:ascii="Arial" w:cs="Arial" w:eastAsia="Arial" w:hAnsi="Arial"/>
          <w:sz w:val="18"/>
          <w:szCs w:val="18"/>
          <w:color w:val="auto"/>
        </w:rPr>
      </w:pPr>
    </w:p>
    <w:p>
      <w:pPr>
        <w:ind w:left="640" w:right="460" w:hanging="328"/>
        <w:spacing w:after="0" w:line="277"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combination of these platforms, formats and delivery formulations is designed to address a wide range of disease targets, and tailor drug products for systemic or intratumoral delivery, as well as directly encode mAbs or cytokines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40" w:right="460" w:hanging="328"/>
        <w:spacing w:after="0" w:line="277"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broad mRNA expertise is a core strategic asset of our company. It is protected by a global patent portfolio and our proprietary technical knowledge and trade secrets.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deep, diversified pipeline and expect data updates for up to five oncology programs by the end of 2020.</w:t>
      </w:r>
    </w:p>
    <w:p>
      <w:pPr>
        <w:spacing w:after="0" w:line="131" w:lineRule="exact"/>
        <w:rPr>
          <w:sz w:val="20"/>
          <w:szCs w:val="20"/>
          <w:color w:val="auto"/>
        </w:rPr>
      </w:pPr>
    </w:p>
    <w:p>
      <w:pPr>
        <w:ind w:left="640" w:right="200" w:hanging="328"/>
        <w:spacing w:after="0" w:line="277"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have already advanced our portfolio to a critical stage of maturity with multiple programs progressing in parallel. We expect numerous near-term product candidate development updates, including: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data updates in up to five clinical programs by the end of 2020;</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advancement of up to five product candidates into the clinic per year in 2019 and 2020;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up to 10 different product candidates in clinical trials by the end of 2019.</w:t>
      </w:r>
    </w:p>
    <w:p>
      <w:pPr>
        <w:spacing w:after="0" w:line="130" w:lineRule="exact"/>
        <w:rPr>
          <w:rFonts w:ascii="Arial" w:cs="Arial" w:eastAsia="Arial" w:hAnsi="Arial"/>
          <w:sz w:val="18"/>
          <w:szCs w:val="18"/>
          <w:color w:val="auto"/>
        </w:rPr>
      </w:pPr>
    </w:p>
    <w:p>
      <w:pPr>
        <w:ind w:left="640" w:right="280" w:hanging="328"/>
        <w:spacing w:after="0" w:line="342" w:lineRule="auto"/>
        <w:tabs>
          <w:tab w:leader="none" w:pos="6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Our preclinical oncology pipeline is progressing rapidly. We initiated clinical trials for both of our lead checkpoint immunomodulator antibody product candidates in 2019, and we expect to initiate a clinical trial for our lead CAR T product candidate in the first half of 2020.</w:t>
      </w:r>
    </w:p>
    <w:p>
      <w:pPr>
        <w:spacing w:after="0" w:line="29" w:lineRule="exact"/>
        <w:rPr>
          <w:rFonts w:ascii="Arial" w:cs="Arial" w:eastAsia="Arial" w:hAnsi="Arial"/>
          <w:sz w:val="16"/>
          <w:szCs w:val="16"/>
          <w:color w:val="auto"/>
        </w:rPr>
      </w:pPr>
    </w:p>
    <w:p>
      <w:pPr>
        <w:ind w:left="640" w:hanging="328"/>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expect to report our target indications and first product candidates for our infectious and rare disease platforms in 2020.</w:t>
      </w:r>
    </w:p>
    <w:p>
      <w:pPr>
        <w:spacing w:after="0" w:line="333"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We have formed multiple collaborations with leading pharmaceutical companies and have retained significant development, commercial and financial rights across our portfolio.</w:t>
      </w:r>
    </w:p>
    <w:p>
      <w:pPr>
        <w:spacing w:after="0" w:line="76" w:lineRule="exact"/>
        <w:rPr>
          <w:sz w:val="20"/>
          <w:szCs w:val="20"/>
          <w:color w:val="auto"/>
        </w:rPr>
      </w:pPr>
    </w:p>
    <w:p>
      <w:pPr>
        <w:ind w:left="640" w:hanging="328"/>
        <w:spacing w:after="0" w:line="277"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have chosen to form collaborations in oncology to rapidly advance our science and enhance our development capabilities, bring our potentially disruptive therapies to patients more quickly and provide non-dilutive capital.</w:t>
      </w:r>
    </w:p>
    <w:p>
      <w:pPr>
        <w:spacing w:after="0" w:line="75" w:lineRule="exact"/>
        <w:rPr>
          <w:rFonts w:ascii="Arial" w:cs="Arial" w:eastAsia="Arial" w:hAnsi="Arial"/>
          <w:sz w:val="18"/>
          <w:szCs w:val="18"/>
          <w:color w:val="auto"/>
        </w:rPr>
      </w:pPr>
    </w:p>
    <w:p>
      <w:pPr>
        <w:ind w:left="640" w:right="380" w:hanging="328"/>
        <w:spacing w:after="0" w:line="277"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are currently collaborating with four pharmaceutical companies with expertise in oncology, including Genentech, Sanofi, Genmab and Eli Lilly, and have retained significant rights in each of our collaborations.</w:t>
      </w:r>
    </w:p>
    <w:p>
      <w:pPr>
        <w:spacing w:after="0" w:line="75" w:lineRule="exact"/>
        <w:rPr>
          <w:rFonts w:ascii="Arial" w:cs="Arial" w:eastAsia="Arial" w:hAnsi="Arial"/>
          <w:sz w:val="18"/>
          <w:szCs w:val="18"/>
          <w:color w:val="auto"/>
        </w:rPr>
      </w:pPr>
    </w:p>
    <w:p>
      <w:pPr>
        <w:ind w:left="640" w:right="120" w:hanging="328"/>
        <w:spacing w:after="0" w:line="286" w:lineRule="auto"/>
        <w:tabs>
          <w:tab w:leader="none" w:pos="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addition, we have formed collaborations with leading pharmaceutical companies to broaden our footprint beyond oncology. We have a collaboration with Pfizer focused on influenza. We are collaborating with Penn to develop mRNA-based immunotherapies for up to 10 additional infectious disease indications. We have also formed a collaboration with Genevant for up to five rare disease indications.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328"/>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have retained worldwide rights to all product candidates under our FixVac, RiboMabs, RiboCytokines and CAR T platforms.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created a vertically integrated business with comprehensive in-house manufacturing capabilities.</w:t>
      </w:r>
    </w:p>
    <w:p>
      <w:pPr>
        <w:spacing w:after="0" w:line="131" w:lineRule="exact"/>
        <w:rPr>
          <w:sz w:val="20"/>
          <w:szCs w:val="20"/>
          <w:color w:val="auto"/>
        </w:rPr>
      </w:pPr>
    </w:p>
    <w:p>
      <w:pPr>
        <w:ind w:left="640" w:right="100" w:hanging="328"/>
        <w:spacing w:after="0" w:line="277" w:lineRule="auto"/>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believe that to successfully bring individualized immunotherapies to patients, it is critical to control the manufacturing and supply processes. We therefore have chosen to invest early in scaling our in-house capabilities.</w:t>
      </w:r>
    </w:p>
    <w:p>
      <w:pPr>
        <w:spacing w:after="0" w:line="75" w:lineRule="exact"/>
        <w:rPr>
          <w:rFonts w:ascii="Arial" w:cs="Arial" w:eastAsia="Arial" w:hAnsi="Arial"/>
          <w:sz w:val="18"/>
          <w:szCs w:val="18"/>
          <w:color w:val="auto"/>
        </w:rPr>
      </w:pPr>
    </w:p>
    <w:p>
      <w:pPr>
        <w:ind w:left="640" w:right="40" w:hanging="328"/>
        <w:spacing w:after="0" w:line="277" w:lineRule="auto"/>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currently operate four manufacturing facilities in Germany spanning mRNA and peptide production, viral vectors and engineered T cells, and we continue to invest significant human and financial capital into these activities.</w:t>
      </w:r>
    </w:p>
    <w:p>
      <w:pPr>
        <w:spacing w:after="0" w:line="75" w:lineRule="exact"/>
        <w:rPr>
          <w:rFonts w:ascii="Arial" w:cs="Arial" w:eastAsia="Arial" w:hAnsi="Arial"/>
          <w:sz w:val="18"/>
          <w:szCs w:val="18"/>
          <w:color w:val="auto"/>
        </w:rPr>
      </w:pPr>
    </w:p>
    <w:p>
      <w:pPr>
        <w:ind w:left="640" w:hanging="328"/>
        <w:spacing w:after="0" w:line="277" w:lineRule="auto"/>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collaboration with Siemens, we are optimizing our iNeST production process, reducing turnaround time from over three months to less than six weeks currently, with the goal of delivering on-demand commercial supply.</w:t>
      </w:r>
    </w:p>
    <w:p>
      <w:pPr>
        <w:spacing w:after="0" w:line="279"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Our Company’s scientific DNA, which is the foundation of the BioNTech approach, has attracted a talented team from nearly 50 countries around the world.</w:t>
      </w:r>
    </w:p>
    <w:p>
      <w:pPr>
        <w:spacing w:after="0" w:line="76" w:lineRule="exact"/>
        <w:rPr>
          <w:sz w:val="20"/>
          <w:szCs w:val="20"/>
          <w:color w:val="auto"/>
        </w:rPr>
      </w:pPr>
    </w:p>
    <w:p>
      <w:pPr>
        <w:ind w:left="640" w:right="480" w:hanging="328"/>
        <w:spacing w:after="0" w:line="276" w:lineRule="auto"/>
        <w:tabs>
          <w:tab w:leader="none" w:pos="6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Prof. Ugur Sahin, M.D., our co-founder and Chief Executive Officer, and Özlem Türeci, M.D., our Chief Medical Officer, are physicians, scientists and innovators. They have made groundbreaking scientific and technological contributions in the field of personalized cancer immunotherapy and are co-inventors on more than 100 patents. Their daily work is motivated by their experience as researchers and cancer physicians aiming to exploit scientific insights and drive technological progress to develop commercially viable products that could help individual patients, an attitude and culture that has become the DNA of BioNTech.</w:t>
      </w:r>
    </w:p>
    <w:p>
      <w:pPr>
        <w:spacing w:after="0" w:line="77" w:lineRule="exact"/>
        <w:rPr>
          <w:rFonts w:ascii="Arial" w:cs="Arial" w:eastAsia="Arial" w:hAnsi="Arial"/>
          <w:sz w:val="17"/>
          <w:szCs w:val="17"/>
          <w:color w:val="auto"/>
        </w:rPr>
      </w:pPr>
    </w:p>
    <w:p>
      <w:pPr>
        <w:ind w:left="640" w:right="20" w:hanging="328"/>
        <w:spacing w:after="0" w:line="277"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DNA, with a deep culture of intellectual curiosity and innovation, has made us a destination of choice for scientific pioneers. This culture has attracted an exceptionally talented team from nearly 50 countries around the world.</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have participated in nearly 300 scientific publications.</w:t>
      </w:r>
    </w:p>
    <w:p>
      <w:pPr>
        <w:spacing w:after="0" w:line="37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Our Strategy</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Our vision is to harness the power of the human immune system to develop truly individualized and patient-centric therapies for cancer and other serious diseases. We aim to rapidly develop, manufacture and, if approved, commercialize a portfolio of novel immunotherapies, including both off-the-shelf drugs and individualized treatments. The key elements of our strategy to achieve this vision are as follows:</w:t>
      </w:r>
    </w:p>
    <w:p>
      <w:pPr>
        <w:spacing w:after="0" w:line="274"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Rapidly advance our potential first-in-class product candidates derived from our FixVac and iNeST platforms toward market approvals in oncology, either on our own or with our collaborators.</w:t>
      </w:r>
    </w:p>
    <w:p>
      <w:pPr>
        <w:spacing w:after="0" w:line="76" w:lineRule="exact"/>
        <w:rPr>
          <w:sz w:val="20"/>
          <w:szCs w:val="20"/>
          <w:color w:val="auto"/>
        </w:rPr>
      </w:pPr>
    </w:p>
    <w:p>
      <w:pPr>
        <w:ind w:left="640" w:right="260" w:hanging="328"/>
        <w:spacing w:after="0" w:line="259" w:lineRule="auto"/>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are conducting three Phase 1 clinical trials with our wholly owned off-the-shelf FixVac mRNA immunotherapy and plan to initiate an additional Phase 1/2 clinical trial in the second half of 2019. Our most advanced current FixVac product candidate, BNT111, is currently being evaluated in 115 patients with advanced melanoma, and we expect to initiate a Phase 2 trial in the first half of 2020 and a Phase 3 trial in the second half of 2020.</w:t>
      </w:r>
    </w:p>
    <w:p>
      <w:pPr>
        <w:spacing w:after="0" w:line="92" w:lineRule="exact"/>
        <w:rPr>
          <w:rFonts w:ascii="Arial" w:cs="Arial" w:eastAsia="Arial" w:hAnsi="Arial"/>
          <w:sz w:val="18"/>
          <w:szCs w:val="18"/>
          <w:color w:val="auto"/>
        </w:rPr>
      </w:pPr>
    </w:p>
    <w:p>
      <w:pPr>
        <w:ind w:left="640" w:right="320" w:hanging="328"/>
        <w:spacing w:after="0" w:line="312" w:lineRule="auto"/>
        <w:tabs>
          <w:tab w:leader="none" w:pos="6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We are also advancing, in collaboration with Genentech, our iNeST individualized neoantigen specific mRNA immunotherapy in two clinical trials, targeting more than eight tumor types. Our most advanced iNeST program is a Phase 2 trial of our product candidate, RO7198457 (BNT122), in 132 patients with metastatic melanoma, evaluating iNeST in combination with pembrolizumab as a first-line therapy.</w:t>
      </w:r>
    </w:p>
    <w:p>
      <w:pPr>
        <w:spacing w:after="0" w:line="52" w:lineRule="exact"/>
        <w:rPr>
          <w:rFonts w:ascii="Arial" w:cs="Arial" w:eastAsia="Arial" w:hAnsi="Arial"/>
          <w:sz w:val="16"/>
          <w:szCs w:val="16"/>
          <w:color w:val="auto"/>
        </w:rPr>
      </w:pPr>
    </w:p>
    <w:p>
      <w:pPr>
        <w:ind w:left="640" w:right="900" w:hanging="328"/>
        <w:spacing w:after="0" w:line="308" w:lineRule="auto"/>
        <w:tabs>
          <w:tab w:leader="none" w:pos="6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We believe both FixVac and iNeST have therapeutic potential in a wide variety of solid tumors. We have identified significant market opportunities in additional indications and plan to pursue potentially expedited routes to market approval.</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60"/>
          </w:cols>
          <w:pgMar w:left="24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Progress additional product candidates through clinical development, leveraging our multiple drug classes and the synergies between them in order to expand our oncology pipeline.</w:t>
      </w:r>
    </w:p>
    <w:p>
      <w:pPr>
        <w:spacing w:after="0" w:line="76" w:lineRule="exact"/>
        <w:rPr>
          <w:sz w:val="20"/>
          <w:szCs w:val="20"/>
          <w:color w:val="auto"/>
        </w:rPr>
      </w:pPr>
    </w:p>
    <w:p>
      <w:pPr>
        <w:ind w:left="640" w:hanging="328"/>
        <w:spacing w:after="0" w:line="264"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addition to FixVac and iNeST, we are also conducting a Phase 1 clinical trial of our intratumoral immunotherapy product candidate SAR441000 (BNT131) in collaboration with Sanofi, as a monotherapy in patients with advanced melanoma and as a combination therapy with an anti-PD-1/PD-L1 checkpoint inhibitor in patients with certain solid tumors.</w:t>
      </w:r>
    </w:p>
    <w:p>
      <w:pPr>
        <w:spacing w:after="0" w:line="86" w:lineRule="exact"/>
        <w:rPr>
          <w:rFonts w:ascii="Arial" w:cs="Arial" w:eastAsia="Arial" w:hAnsi="Arial"/>
          <w:sz w:val="18"/>
          <w:szCs w:val="18"/>
          <w:color w:val="auto"/>
        </w:rPr>
      </w:pPr>
    </w:p>
    <w:p>
      <w:pPr>
        <w:ind w:left="640" w:right="120" w:hanging="328"/>
        <w:spacing w:after="0" w:line="277"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Beyond mRNA, we plan to rapidly advance other product candidates from our immunotherapy drug classes into clinical proof-of-concept studies in solid tumor indications.</w:t>
      </w:r>
    </w:p>
    <w:p>
      <w:pPr>
        <w:spacing w:after="0" w:line="75" w:lineRule="exact"/>
        <w:rPr>
          <w:rFonts w:ascii="Arial" w:cs="Arial" w:eastAsia="Arial" w:hAnsi="Arial"/>
          <w:sz w:val="18"/>
          <w:szCs w:val="18"/>
          <w:color w:val="auto"/>
        </w:rPr>
      </w:pPr>
    </w:p>
    <w:p>
      <w:pPr>
        <w:ind w:left="640" w:right="420" w:hanging="328"/>
        <w:spacing w:after="0" w:line="264"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collaboration with Genmab, we have initiated Phase 1/2a clinical trials for our product candidates GEN1046 (BNT311) and GEN1042 (BNT312) in solid tumors. These product candidates are based on our novel checkpoint immunomodulator bispecific monoclonal antibodies, which we believe have potential in a broad range of cancers.</w:t>
      </w:r>
    </w:p>
    <w:p>
      <w:pPr>
        <w:spacing w:after="0" w:line="86" w:lineRule="exact"/>
        <w:rPr>
          <w:rFonts w:ascii="Arial" w:cs="Arial" w:eastAsia="Arial" w:hAnsi="Arial"/>
          <w:sz w:val="18"/>
          <w:szCs w:val="18"/>
          <w:color w:val="auto"/>
        </w:rPr>
      </w:pPr>
    </w:p>
    <w:p>
      <w:pPr>
        <w:ind w:left="640" w:right="340" w:hanging="328"/>
        <w:spacing w:after="0" w:line="277" w:lineRule="auto"/>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also plan to initiate a Phase 1/2 clinical trial in the first half of 2020 for our wholly-owned CAR T product candidate, BNT211, in multiple solid tumors, targeting a novel solid-tumor specific antigen, CLDN6.</w:t>
      </w:r>
    </w:p>
    <w:p>
      <w:pPr>
        <w:spacing w:after="0" w:line="279"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Maximize the potential and leverage the broad applicability of our mRNA drug class in additional therapeutic areas beyond cancer, including through selective collaborations.</w:t>
      </w:r>
    </w:p>
    <w:p>
      <w:pPr>
        <w:spacing w:after="0" w:line="76" w:lineRule="exact"/>
        <w:rPr>
          <w:sz w:val="20"/>
          <w:szCs w:val="20"/>
          <w:color w:val="auto"/>
        </w:rPr>
      </w:pPr>
    </w:p>
    <w:p>
      <w:pPr>
        <w:ind w:left="640" w:right="300" w:hanging="328"/>
        <w:spacing w:after="0" w:line="277"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Beyond oncology, we intend to leverage our mRNA technology to direct the immune system to fight a range of infectious diseases and address missing or defective proteins in certain rare diseases.</w:t>
      </w:r>
    </w:p>
    <w:p>
      <w:pPr>
        <w:spacing w:after="0" w:line="75" w:lineRule="exact"/>
        <w:rPr>
          <w:rFonts w:ascii="Arial" w:cs="Arial" w:eastAsia="Arial" w:hAnsi="Arial"/>
          <w:sz w:val="18"/>
          <w:szCs w:val="18"/>
          <w:color w:val="auto"/>
        </w:rPr>
      </w:pPr>
    </w:p>
    <w:p>
      <w:pPr>
        <w:ind w:left="640" w:right="140" w:hanging="328"/>
        <w:spacing w:after="0" w:line="264" w:lineRule="auto"/>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collaborations with Pfizer in influenza and with Genevant in rare diseases underscore the potential of our approach. We intend to continue to seek value adding collaborations with leading industry players who contribute their competencies and know-how to complement our powerful suite of technologies to address challenging diseases outside of our core therapeutic focus on oncology.</w:t>
      </w:r>
    </w:p>
    <w:p>
      <w:pPr>
        <w:spacing w:after="0" w:line="289"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Strengthen our position as a leader in the highly automated, on-demand manufacturing of individualized therapies with the goal of delivering our therapies globally.</w:t>
      </w:r>
    </w:p>
    <w:p>
      <w:pPr>
        <w:spacing w:after="0" w:line="76" w:lineRule="exact"/>
        <w:rPr>
          <w:sz w:val="20"/>
          <w:szCs w:val="20"/>
          <w:color w:val="auto"/>
        </w:rPr>
      </w:pPr>
    </w:p>
    <w:p>
      <w:pPr>
        <w:ind w:left="640" w:right="20" w:hanging="328"/>
        <w:spacing w:after="0" w:line="308" w:lineRule="auto"/>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will continue to invest to reduce cycle times and increase the automation of our processes, and to expand our manufacturing capacity across all platforms to support the efficient progression of our product candidates into late-stage clinical trials and commercialization.</w:t>
      </w:r>
    </w:p>
    <w:p>
      <w:pPr>
        <w:spacing w:after="0" w:line="51" w:lineRule="exact"/>
        <w:rPr>
          <w:rFonts w:ascii="Arial" w:cs="Arial" w:eastAsia="Arial" w:hAnsi="Arial"/>
          <w:sz w:val="17"/>
          <w:szCs w:val="17"/>
          <w:color w:val="auto"/>
        </w:rPr>
      </w:pPr>
    </w:p>
    <w:p>
      <w:pPr>
        <w:ind w:left="640" w:right="260" w:hanging="328"/>
        <w:spacing w:after="0" w:line="277" w:lineRule="auto"/>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will continue to invest in and scale up our advanced, in-house GMP manufacturing capabilities and capacity across mRNA and cell therapy production.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Establish a commercial organization to bring our portfolio of cancer immunotherapies to patients.</w:t>
      </w:r>
    </w:p>
    <w:p>
      <w:pPr>
        <w:spacing w:after="0" w:line="131" w:lineRule="exact"/>
        <w:rPr>
          <w:sz w:val="20"/>
          <w:szCs w:val="20"/>
          <w:color w:val="auto"/>
        </w:rPr>
      </w:pPr>
    </w:p>
    <w:p>
      <w:pPr>
        <w:ind w:left="640" w:right="720" w:hanging="328"/>
        <w:spacing w:after="0" w:line="308" w:lineRule="auto"/>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We believe that developing our own commercial infrastructure will be key to maximizing the value of our programs. We intend to jointly participate in the commercialization of our collaborative programs where we retain significant commercial rights.</w:t>
      </w:r>
    </w:p>
    <w:p>
      <w:pPr>
        <w:spacing w:after="0" w:line="51" w:lineRule="exact"/>
        <w:rPr>
          <w:rFonts w:ascii="Arial" w:cs="Arial" w:eastAsia="Arial" w:hAnsi="Arial"/>
          <w:sz w:val="17"/>
          <w:szCs w:val="17"/>
          <w:color w:val="auto"/>
        </w:rPr>
      </w:pPr>
    </w:p>
    <w:p>
      <w:pPr>
        <w:ind w:left="640" w:right="80" w:hanging="328"/>
        <w:spacing w:after="0" w:line="277"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plan to expand our footprint to support our global clinical development activities and intend to establish operations in the United States by the end of 2020.</w:t>
      </w:r>
    </w:p>
    <w:p>
      <w:pPr>
        <w:spacing w:after="0" w:line="27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Expand our current technology suite by continuing to develop existing and new drug classes and platforms, and selectively in-licensing technologies that are complementary to our existing pipeline.</w:t>
      </w:r>
    </w:p>
    <w:p>
      <w:pPr>
        <w:spacing w:after="0" w:line="76" w:lineRule="exact"/>
        <w:rPr>
          <w:sz w:val="20"/>
          <w:szCs w:val="20"/>
          <w:color w:val="auto"/>
        </w:rPr>
      </w:pPr>
    </w:p>
    <w:p>
      <w:pPr>
        <w:ind w:left="640" w:right="240" w:hanging="328"/>
        <w:spacing w:after="0" w:line="277"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our understanding of immunology and oncology evolves, we plan to continue developing existing as well as new drug classes and platforms that are consistent with our strategy, with particular focus on those that can benefit from our in-house expertise.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328"/>
        <w:spacing w:after="0" w:line="264" w:lineRule="auto"/>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 evidenced by our recent acquisition of MabVax Therapeutics, we also continuously assess the external environment for novel drug classes, platforms and product candidates that can further expand and improve our pipeline of innovative immunotherapeutics, and help us to execute our strategy.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Maintain our culture of scientific excellence to continue to drive future innovation.</w:t>
      </w:r>
    </w:p>
    <w:p>
      <w:pPr>
        <w:spacing w:after="0" w:line="131" w:lineRule="exact"/>
        <w:rPr>
          <w:sz w:val="20"/>
          <w:szCs w:val="20"/>
          <w:color w:val="auto"/>
        </w:rPr>
      </w:pPr>
    </w:p>
    <w:p>
      <w:pPr>
        <w:ind w:left="640" w:right="920" w:hanging="328"/>
        <w:spacing w:after="0" w:line="277"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are committed to maintaining close ties to the scientific and academic community by fostering our many long-standing university relationships.</w:t>
      </w:r>
    </w:p>
    <w:p>
      <w:pPr>
        <w:spacing w:after="0" w:line="75" w:lineRule="exact"/>
        <w:rPr>
          <w:rFonts w:ascii="Arial" w:cs="Arial" w:eastAsia="Arial" w:hAnsi="Arial"/>
          <w:sz w:val="18"/>
          <w:szCs w:val="18"/>
          <w:color w:val="auto"/>
        </w:rPr>
      </w:pPr>
    </w:p>
    <w:p>
      <w:pPr>
        <w:ind w:left="640" w:right="280" w:hanging="328"/>
        <w:spacing w:after="0" w:line="277"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also intend to continue our leadership in the Association for Cancer Immunotherapy, or CIMT, which provides us potential new sources of innovation and academic collaboration opportunities.</w:t>
      </w:r>
    </w:p>
    <w:p>
      <w:pPr>
        <w:spacing w:after="0" w:line="315"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IV.</w:t>
        <w:tab/>
        <w:t>Immunotherapy in Cancer</w:t>
      </w:r>
    </w:p>
    <w:p>
      <w:pPr>
        <w:spacing w:after="0" w:line="12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immune system has evolved over hundreds of millions of years to identify and eradicate what is foreign to the body with a high level of efficiency. The immune system’s efficacy is attributable to approximately one trillion highly diversified immune cells that constantly travel throughout the body and interact in a coordinated manner. They are able to detect and eliminate diseased cells and pathogens with high precision by relying on a broad range of immune recognition receptors. Their powerful mechanisms both synergize and regulate each other.</w:t>
      </w:r>
    </w:p>
    <w:p>
      <w:pPr>
        <w:spacing w:after="0" w:line="17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goal of immunotherapy in the field of oncology is to harness the power of the immune system to recognize malignant cells as “foreign,” overcome immune evasion mechanisms employed by cancers, eradicate cancer cells and thereby eliminate tumors.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Immunotherapy approaches in cancer have a long history. Recent years have seen an acceleration of scientific advancements and clinical breakthroughs in this field. The introduction over the last decade of checkpoint inhibitors such as Yervoy, Opdivo and Keytruda, and CAR T therapies such as Yescarta and Kymriah has demonstrated that even leveraging one single mechanism to harness the immune system may result in unprecedented, significantly improved clinical outcomes for a subset of patients.</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While these first-generation immunotherapies have ignited the paradigm shift toward immuno-oncology, they also have limitations. For example, less than 40% of patients respond to checkpoint inhibitors, while CAR T therapies have been primarily limited to blood cancers in subsets of patients, and have been hampered by toxicities.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Realizing the full potential of immunotherapy is the objective of the next generation of immuno-oncology drugs to be developed.</w:t>
      </w:r>
    </w:p>
    <w:p>
      <w:pPr>
        <w:spacing w:after="0" w:line="370" w:lineRule="exact"/>
        <w:rPr>
          <w:sz w:val="20"/>
          <w:szCs w:val="20"/>
          <w:color w:val="auto"/>
        </w:rPr>
      </w:pP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Challenges and Opportunities of Cancer Therapies</w:t>
      </w:r>
    </w:p>
    <w:p>
      <w:pPr>
        <w:spacing w:after="0" w:line="12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Cancer results from an accumulation of abnormalities, known as somatic mutations, in the genome of cells over time leading to malignant transformation, combined with a failure by the immune system to detect and eradicate such transformed cells. Due to their random nature, the vast majority of these aberrations are unique to the individual patient.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consequence, heterogeneity is an intrinsic hallmark of cancer, posing a key challenge for cancer therapy:</w:t>
      </w:r>
    </w:p>
    <w:p>
      <w:pPr>
        <w:spacing w:after="0" w:line="127" w:lineRule="exact"/>
        <w:rPr>
          <w:sz w:val="20"/>
          <w:szCs w:val="20"/>
          <w:color w:val="auto"/>
        </w:rPr>
      </w:pPr>
    </w:p>
    <w:p>
      <w:pPr>
        <w:ind w:left="1180" w:right="40" w:hanging="436"/>
        <w:spacing w:after="0" w:line="266" w:lineRule="auto"/>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Interindividual tumor heterogeneity. </w:t>
      </w:r>
      <w:r>
        <w:rPr>
          <w:rFonts w:ascii="Arial" w:cs="Arial" w:eastAsia="Arial" w:hAnsi="Arial"/>
          <w:sz w:val="18"/>
          <w:szCs w:val="18"/>
          <w:color w:val="auto"/>
        </w:rPr>
        <w:t>Tumors, even within the same cancer type, differ at the molecular level. For example, two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same type of cancer usually share less than five percent of their mutations. As a result, patients often respond very differently to the same drug.</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60"/>
          </w:cols>
          <w:pgMar w:left="24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80" w:hanging="436"/>
        <w:spacing w:after="0" w:line="289" w:lineRule="auto"/>
        <w:tabs>
          <w:tab w:leader="none" w:pos="118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Intratumor heterogeneity. </w:t>
      </w:r>
      <w:r>
        <w:rPr>
          <w:rFonts w:ascii="Arial" w:cs="Arial" w:eastAsia="Arial" w:hAnsi="Arial"/>
          <w:sz w:val="17"/>
          <w:szCs w:val="17"/>
          <w:color w:val="auto"/>
        </w:rPr>
        <w:t>Within the same patient, cancer also evolves over time so that different tumor cell clones co-exist, in a manner</w:t>
      </w:r>
      <w:r>
        <w:rPr>
          <w:rFonts w:ascii="Arial" w:cs="Arial" w:eastAsia="Arial" w:hAnsi="Arial"/>
          <w:sz w:val="17"/>
          <w:szCs w:val="17"/>
          <w:b w:val="1"/>
          <w:bCs w:val="1"/>
          <w:color w:val="auto"/>
        </w:rPr>
        <w:t xml:space="preserve"> </w:t>
      </w:r>
      <w:r>
        <w:rPr>
          <w:rFonts w:ascii="Arial" w:cs="Arial" w:eastAsia="Arial" w:hAnsi="Arial"/>
          <w:sz w:val="17"/>
          <w:szCs w:val="17"/>
          <w:color w:val="auto"/>
        </w:rPr>
        <w:t>known as clonal evolution. As a result, a patient’s cancer may be intra-tumorally as well as inter-tumorally heterogeneous. Therapies might target only a subfraction of tumor cell clones. This can lead to immune escape and therapy failure.</w:t>
      </w:r>
    </w:p>
    <w:p>
      <w:pPr>
        <w:spacing w:after="0" w:line="63" w:lineRule="exact"/>
        <w:rPr>
          <w:rFonts w:ascii="Arial" w:cs="Arial" w:eastAsia="Arial" w:hAnsi="Arial"/>
          <w:sz w:val="17"/>
          <w:szCs w:val="17"/>
          <w:color w:val="auto"/>
        </w:rPr>
      </w:pPr>
    </w:p>
    <w:p>
      <w:pPr>
        <w:ind w:left="1180" w:right="460" w:hanging="436"/>
        <w:spacing w:after="0" w:line="266" w:lineRule="auto"/>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Cancer evolution and immune escape. </w:t>
      </w:r>
      <w:r>
        <w:rPr>
          <w:rFonts w:ascii="Arial" w:cs="Arial" w:eastAsia="Arial" w:hAnsi="Arial"/>
          <w:sz w:val="18"/>
          <w:szCs w:val="18"/>
          <w:color w:val="auto"/>
        </w:rPr>
        <w:t>Cancer cells can adapt to therapeutic pressure, which results in treatment resistance.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immunotherapy, tumor cell clones may evolve that no longer express T cell recognized antigens or have defects in their antigen presentation machinery.</w:t>
      </w:r>
    </w:p>
    <w:p>
      <w:pPr>
        <w:spacing w:after="0" w:line="81" w:lineRule="exact"/>
        <w:rPr>
          <w:rFonts w:ascii="Arial" w:cs="Arial" w:eastAsia="Arial" w:hAnsi="Arial"/>
          <w:sz w:val="18"/>
          <w:szCs w:val="18"/>
          <w:color w:val="auto"/>
        </w:rPr>
      </w:pPr>
    </w:p>
    <w:p>
      <w:pPr>
        <w:ind w:left="1180" w:right="880" w:hanging="436"/>
        <w:spacing w:after="0" w:line="282" w:lineRule="auto"/>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Tumor microenvironment. </w:t>
      </w:r>
      <w:r>
        <w:rPr>
          <w:rFonts w:ascii="Arial" w:cs="Arial" w:eastAsia="Arial" w:hAnsi="Arial"/>
          <w:sz w:val="18"/>
          <w:szCs w:val="18"/>
          <w:color w:val="auto"/>
        </w:rPr>
        <w:t>Tumors induce various forms of immunosuppressive microenvironments that prevent T cells from</w:t>
      </w:r>
      <w:r>
        <w:rPr>
          <w:rFonts w:ascii="Arial" w:cs="Arial" w:eastAsia="Arial" w:hAnsi="Arial"/>
          <w:sz w:val="18"/>
          <w:szCs w:val="18"/>
          <w:b w:val="1"/>
          <w:bCs w:val="1"/>
          <w:color w:val="auto"/>
        </w:rPr>
        <w:t xml:space="preserve"> </w:t>
      </w:r>
      <w:r>
        <w:rPr>
          <w:rFonts w:ascii="Arial" w:cs="Arial" w:eastAsia="Arial" w:hAnsi="Arial"/>
          <w:sz w:val="18"/>
          <w:szCs w:val="18"/>
          <w:color w:val="auto"/>
        </w:rPr>
        <w:t>proliferating and executing their anti-tumor effector function.</w:t>
      </w:r>
    </w:p>
    <w:p>
      <w:pPr>
        <w:spacing w:after="0" w:line="67" w:lineRule="exact"/>
        <w:rPr>
          <w:rFonts w:ascii="Arial" w:cs="Arial" w:eastAsia="Arial" w:hAnsi="Arial"/>
          <w:sz w:val="18"/>
          <w:szCs w:val="18"/>
          <w:color w:val="auto"/>
        </w:rPr>
      </w:pPr>
    </w:p>
    <w:p>
      <w:pPr>
        <w:jc w:val="both"/>
        <w:ind w:left="1180" w:right="80" w:hanging="436"/>
        <w:spacing w:after="0" w:line="281" w:lineRule="auto"/>
        <w:tabs>
          <w:tab w:leader="none" w:pos="118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Host, environment and immune system. </w:t>
      </w:r>
      <w:r>
        <w:rPr>
          <w:rFonts w:ascii="Arial" w:cs="Arial" w:eastAsia="Arial" w:hAnsi="Arial"/>
          <w:sz w:val="17"/>
          <w:szCs w:val="17"/>
          <w:color w:val="auto"/>
        </w:rPr>
        <w:t>The functional state of each patient’s immune system is dependent on the patient’s age, genetic</w:t>
      </w:r>
      <w:r>
        <w:rPr>
          <w:rFonts w:ascii="Arial" w:cs="Arial" w:eastAsia="Arial" w:hAnsi="Arial"/>
          <w:sz w:val="17"/>
          <w:szCs w:val="17"/>
          <w:b w:val="1"/>
          <w:bCs w:val="1"/>
          <w:color w:val="auto"/>
        </w:rPr>
        <w:t xml:space="preserve"> </w:t>
      </w:r>
      <w:r>
        <w:rPr>
          <w:rFonts w:ascii="Arial" w:cs="Arial" w:eastAsia="Arial" w:hAnsi="Arial"/>
          <w:sz w:val="17"/>
          <w:szCs w:val="17"/>
          <w:color w:val="auto"/>
        </w:rPr>
        <w:t>makeup and environmental exposures. For example, the HLA haplotype, or the genetic makeup that encodes the major histocompatibility complex, is highly individual and decisive for which epitopes of an antigen are presented to T cells. Whereas a given tumor antigen might be a good target in one patient, a second patient might not be able to respond to it at all.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graphic below depicts the interaction between three key factors influencing the patient unique tumor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152400</wp:posOffset>
            </wp:positionV>
            <wp:extent cx="5196840" cy="38760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96840"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right="160"/>
        <w:spacing w:after="0" w:line="259" w:lineRule="auto"/>
        <w:rPr>
          <w:sz w:val="20"/>
          <w:szCs w:val="20"/>
          <w:color w:val="auto"/>
        </w:rPr>
      </w:pPr>
      <w:r>
        <w:rPr>
          <w:rFonts w:ascii="Arial" w:cs="Arial" w:eastAsia="Arial" w:hAnsi="Arial"/>
          <w:sz w:val="14"/>
          <w:szCs w:val="14"/>
          <w:b w:val="1"/>
          <w:bCs w:val="1"/>
          <w:color w:val="auto"/>
        </w:rPr>
        <w:t xml:space="preserve">Interindividual heterogeneity of patients. </w:t>
      </w:r>
      <w:r>
        <w:rPr>
          <w:rFonts w:ascii="Arial" w:cs="Arial" w:eastAsia="Arial" w:hAnsi="Arial"/>
          <w:sz w:val="14"/>
          <w:szCs w:val="14"/>
          <w:color w:val="auto"/>
        </w:rPr>
        <w:t>The interaction between cancer and immune system is shaped by various host, tumor and environmental factors. The complex interplay of these</w:t>
      </w:r>
      <w:r>
        <w:rPr>
          <w:rFonts w:ascii="Arial" w:cs="Arial" w:eastAsia="Arial" w:hAnsi="Arial"/>
          <w:sz w:val="14"/>
          <w:szCs w:val="14"/>
          <w:b w:val="1"/>
          <w:bCs w:val="1"/>
          <w:color w:val="auto"/>
        </w:rPr>
        <w:t xml:space="preserve"> </w:t>
      </w:r>
      <w:r>
        <w:rPr>
          <w:rFonts w:ascii="Arial" w:cs="Arial" w:eastAsia="Arial" w:hAnsi="Arial"/>
          <w:sz w:val="14"/>
          <w:szCs w:val="14"/>
          <w:color w:val="auto"/>
        </w:rPr>
        <w:t>sources of interpatient heterogeneity affects both the course of disease and the efficacy of immunotherapy.</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Together, these factors make cancer an extremely complex and heterogeneous disease. As a consequence, in the majority of cancer types, less than 40% of treated individuals benefit from highly potent approved therapies, and responses are often not durable. While these hallmarks of cancer are a challenge for cancer therapy, they also present opportunities for immunotherapy. These interconnected layers of complexity and variability require a deep understanding of an individual cancer and call for a patient-centric approach in order to find an optimal treatment.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Transformation of Cancer Therapies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believe the recent convergence of breakthrough technologies in life sciences has enabled innovative concepts to address the immunobiology of cancer at its core. One of these breakthroughs has been the establishment of cancer immunotherapy in the armamentarium of cancer treatments. Another has been the emerging progress towards individualized medicine. Technologies such as next-generation sequencing, or NGS, have confirmed beyond doubt the problematic diversity of tumors on the inter-patient level. At the same time, NGS enables fast, cost-efficient and precise high-resolution mapping of each patient’s individual disease. We believe the application of these breakthrough technologies has the potential to change drug development and profoundly alter the oncology treatment landscape.</w:t>
      </w:r>
    </w:p>
    <w:p>
      <w:pPr>
        <w:spacing w:after="0" w:line="178" w:lineRule="exact"/>
        <w:rPr>
          <w:sz w:val="20"/>
          <w:szCs w:val="20"/>
          <w:color w:val="auto"/>
        </w:rPr>
      </w:pPr>
    </w:p>
    <w:p>
      <w:pPr>
        <w:ind w:left="200" w:right="680" w:firstLine="441"/>
        <w:spacing w:after="0" w:line="286" w:lineRule="auto"/>
        <w:rPr>
          <w:sz w:val="20"/>
          <w:szCs w:val="20"/>
          <w:color w:val="auto"/>
        </w:rPr>
      </w:pPr>
      <w:r>
        <w:rPr>
          <w:rFonts w:ascii="Arial" w:cs="Arial" w:eastAsia="Arial" w:hAnsi="Arial"/>
          <w:sz w:val="17"/>
          <w:szCs w:val="17"/>
          <w:color w:val="auto"/>
        </w:rPr>
        <w:t>The ability to translate a comprehensive molecular map of an individual tumor into treatment decisions, and make individually tailored therapeutics available, have become the focus of the next generation of cancer therapy. The technology necessary for leapfrog advancements in oncology now exists, but to realize its potential, a radical paradigm shift is required in drug development.</w:t>
      </w:r>
    </w:p>
    <w:p>
      <w:pPr>
        <w:spacing w:after="0" w:line="31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The BioNTech Approach</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are focused on bringing cancer immunotherapy into the next generation. We believe that we can accomplish this by applying the following principles:</w:t>
      </w:r>
    </w:p>
    <w:p>
      <w:pPr>
        <w:spacing w:after="0" w:line="72" w:lineRule="exact"/>
        <w:rPr>
          <w:sz w:val="20"/>
          <w:szCs w:val="20"/>
          <w:color w:val="auto"/>
        </w:rPr>
      </w:pPr>
    </w:p>
    <w:p>
      <w:pPr>
        <w:jc w:val="both"/>
        <w:ind w:left="640" w:right="60" w:hanging="328"/>
        <w:spacing w:after="0" w:line="266" w:lineRule="auto"/>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Exploiting the full potential of the immune system. </w:t>
      </w:r>
      <w:r>
        <w:rPr>
          <w:rFonts w:ascii="Arial" w:cs="Arial" w:eastAsia="Arial" w:hAnsi="Arial"/>
          <w:sz w:val="18"/>
          <w:szCs w:val="18"/>
          <w:color w:val="auto"/>
        </w:rPr>
        <w:t>Our broad pipeline includes mRNA-based immune activators, antigen-targeting T cells and</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and defined immunomodulators of various immune cell mechanisms. This portfolio is designed to mirror the evolution of the immune system to rely on multiple complementary pathways.</w:t>
      </w:r>
    </w:p>
    <w:p>
      <w:pPr>
        <w:spacing w:after="0" w:line="81" w:lineRule="exact"/>
        <w:rPr>
          <w:rFonts w:ascii="Arial" w:cs="Arial" w:eastAsia="Arial" w:hAnsi="Arial"/>
          <w:sz w:val="18"/>
          <w:szCs w:val="18"/>
          <w:color w:val="auto"/>
        </w:rPr>
      </w:pPr>
    </w:p>
    <w:p>
      <w:pPr>
        <w:ind w:left="640" w:right="160" w:hanging="328"/>
        <w:spacing w:after="0" w:line="261" w:lineRule="auto"/>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Broadening the universe of patients benefiting from cancer immunotherapy. </w:t>
      </w:r>
      <w:r>
        <w:rPr>
          <w:rFonts w:ascii="Arial" w:cs="Arial" w:eastAsia="Arial" w:hAnsi="Arial"/>
          <w:sz w:val="18"/>
          <w:szCs w:val="18"/>
          <w:color w:val="auto"/>
        </w:rPr>
        <w:t>We discover and exploit novel targets and target combinations.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aim is to extend the utility of immunotherapy to patient populations that are not currently amenable or do not benefit from the targets of current immunotherapies. One example are patients with low mutational load tumors, such as pancreatic and prostate cancer, which we address with tumor-associated antigens.</w:t>
      </w:r>
    </w:p>
    <w:p>
      <w:pPr>
        <w:spacing w:after="0" w:line="85" w:lineRule="exact"/>
        <w:rPr>
          <w:rFonts w:ascii="Arial" w:cs="Arial" w:eastAsia="Arial" w:hAnsi="Arial"/>
          <w:sz w:val="18"/>
          <w:szCs w:val="18"/>
          <w:color w:val="auto"/>
        </w:rPr>
      </w:pPr>
    </w:p>
    <w:p>
      <w:pPr>
        <w:ind w:left="640" w:hanging="328"/>
        <w:spacing w:after="0" w:line="266" w:lineRule="auto"/>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Improving the success rate. </w:t>
      </w:r>
      <w:r>
        <w:rPr>
          <w:rFonts w:ascii="Arial" w:cs="Arial" w:eastAsia="Arial" w:hAnsi="Arial"/>
          <w:sz w:val="18"/>
          <w:szCs w:val="18"/>
          <w:color w:val="auto"/>
        </w:rPr>
        <w:t>We engineer and develop highly potent drug candidates designed to achieve precision for the specific target. We</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augment activity and counteract resistance mechanisms by combining compounds with non-overlapping, synergistic mechanisms of action, such as combining our FixVac immunotherapy (CARVac) with our novel CAR T therapies.</w:t>
      </w:r>
    </w:p>
    <w:p>
      <w:pPr>
        <w:spacing w:after="0" w:line="81" w:lineRule="exact"/>
        <w:rPr>
          <w:rFonts w:ascii="Arial" w:cs="Arial" w:eastAsia="Arial" w:hAnsi="Arial"/>
          <w:sz w:val="18"/>
          <w:szCs w:val="18"/>
          <w:color w:val="auto"/>
        </w:rPr>
      </w:pPr>
    </w:p>
    <w:p>
      <w:pPr>
        <w:ind w:left="640" w:right="140" w:hanging="328"/>
        <w:spacing w:after="0" w:line="266" w:lineRule="auto"/>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Focusing on curative approaches. </w:t>
      </w:r>
      <w:r>
        <w:rPr>
          <w:rFonts w:ascii="Arial" w:cs="Arial" w:eastAsia="Arial" w:hAnsi="Arial"/>
          <w:sz w:val="18"/>
          <w:szCs w:val="18"/>
          <w:color w:val="auto"/>
        </w:rPr>
        <w:t>The root cause of recurrence or for lack of tumor eradication is interindividual variability and cancer</w:t>
      </w:r>
      <w:r>
        <w:rPr>
          <w:rFonts w:ascii="Arial" w:cs="Arial" w:eastAsia="Arial" w:hAnsi="Arial"/>
          <w:sz w:val="18"/>
          <w:szCs w:val="18"/>
          <w:b w:val="1"/>
          <w:bCs w:val="1"/>
          <w:color w:val="auto"/>
        </w:rPr>
        <w:t xml:space="preserve"> </w:t>
      </w:r>
      <w:r>
        <w:rPr>
          <w:rFonts w:ascii="Arial" w:cs="Arial" w:eastAsia="Arial" w:hAnsi="Arial"/>
          <w:sz w:val="18"/>
          <w:szCs w:val="18"/>
          <w:color w:val="auto"/>
        </w:rPr>
        <w:t>heterogeneity. Addressing this biological reality is one of the mandatory design aspects of the product candidates we develop. For example, each of our cancer immunotherapies incorporates multiple targets in order to account for this variability.</w:t>
      </w:r>
    </w:p>
    <w:p>
      <w:pPr>
        <w:spacing w:after="0" w:line="180"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We have applied these four guiding principles to a broad suite of therapeutic platforms optimized for a distinct mode of action, high precision targeting, high potency and efficacy. We expect each platform to yield a pipeline of drug candidates for further development.</w:t>
      </w:r>
    </w:p>
    <w:p>
      <w:pPr>
        <w:spacing w:after="0" w:line="14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believe this technology-agnostic range of platforms and product candidates positions us to remain at the forefront of the shift toward an individually tailored, patient-centric therapeutic approach in oncology.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Patient-Centric Model</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We believe the next generation of cancer immunotherapy will start from the perspective of the molecular changes that have occurred in an</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 xml:space="preserve">individual patient, and then will provide a specific therapy </w:t>
      </w:r>
      <w:r>
        <w:rPr>
          <w:rFonts w:ascii="Arial" w:cs="Arial" w:eastAsia="Arial" w:hAnsi="Arial"/>
          <w:sz w:val="16"/>
          <w:szCs w:val="16"/>
          <w:i w:val="1"/>
          <w:iCs w:val="1"/>
          <w:color w:val="auto"/>
        </w:rPr>
        <w:t>for that patient</w:t>
      </w:r>
      <w:r>
        <w:rPr>
          <w:rFonts w:ascii="Arial" w:cs="Arial" w:eastAsia="Arial" w:hAnsi="Arial"/>
          <w:sz w:val="16"/>
          <w:szCs w:val="16"/>
          <w:color w:val="auto"/>
        </w:rPr>
        <w:t>. We believe that BioNTech is ideally positioned to drive this transformation.</w:t>
      </w:r>
    </w:p>
    <w:p>
      <w:pPr>
        <w:spacing w:after="0" w:line="234"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patient-centric model starts with profiling and diagnostics by utilizing a target identification engine. This engine combines next generation sequencing, genomics, bioinformatics, machine learning and artificial intelligence to (a) identify gene targets of interest, (b) characterize the functional relevance of these targets (i.e. the ability to raise an immune response to or through a target) and (c) demonstrate their drugability. From our very beginning onwards, we have been developing the novel technologies needed to match the identified targets to the optimal individualized treatment approach.</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patient-centric model is illustrated and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4227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8585"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right="60"/>
        <w:spacing w:after="0" w:line="259" w:lineRule="auto"/>
        <w:rPr>
          <w:sz w:val="20"/>
          <w:szCs w:val="20"/>
          <w:color w:val="auto"/>
        </w:rPr>
      </w:pPr>
      <w:r>
        <w:rPr>
          <w:rFonts w:ascii="Arial" w:cs="Arial" w:eastAsia="Arial" w:hAnsi="Arial"/>
          <w:sz w:val="14"/>
          <w:szCs w:val="14"/>
          <w:b w:val="1"/>
          <w:bCs w:val="1"/>
          <w:color w:val="auto"/>
        </w:rPr>
        <w:t xml:space="preserve">Our patient-centric model. </w:t>
      </w:r>
      <w:r>
        <w:rPr>
          <w:rFonts w:ascii="Arial" w:cs="Arial" w:eastAsia="Arial" w:hAnsi="Arial"/>
          <w:sz w:val="14"/>
          <w:szCs w:val="14"/>
          <w:color w:val="auto"/>
        </w:rPr>
        <w:t>Utilizing patient profiling, diagnostics and bioinformatics, we select from our suite of drug classes to provide optimal individualized treatment. Our treatments</w:t>
      </w:r>
      <w:r>
        <w:rPr>
          <w:rFonts w:ascii="Arial" w:cs="Arial" w:eastAsia="Arial" w:hAnsi="Arial"/>
          <w:sz w:val="14"/>
          <w:szCs w:val="14"/>
          <w:b w:val="1"/>
          <w:bCs w:val="1"/>
          <w:color w:val="auto"/>
        </w:rPr>
        <w:t xml:space="preserve"> </w:t>
      </w:r>
      <w:r>
        <w:rPr>
          <w:rFonts w:ascii="Arial" w:cs="Arial" w:eastAsia="Arial" w:hAnsi="Arial"/>
          <w:sz w:val="14"/>
          <w:szCs w:val="14"/>
          <w:color w:val="auto"/>
        </w:rPr>
        <w:t>include off-the-shelf drugs as well as highly tailored immunotherapies that are produced on-demand for the individual patient.</w:t>
      </w:r>
    </w:p>
    <w:p>
      <w:pPr>
        <w:spacing w:after="0" w:line="10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240" w:top="459" w:right="5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Utilizing this model:</w:t>
      </w:r>
    </w:p>
    <w:p>
      <w:pPr>
        <w:spacing w:after="0" w:line="131" w:lineRule="exact"/>
        <w:rPr>
          <w:sz w:val="20"/>
          <w:szCs w:val="20"/>
          <w:color w:val="auto"/>
        </w:rPr>
      </w:pPr>
    </w:p>
    <w:p>
      <w:pPr>
        <w:ind w:left="640" w:right="260" w:hanging="436"/>
        <w:spacing w:after="0" w:line="286" w:lineRule="auto"/>
        <w:tabs>
          <w:tab w:leader="none" w:pos="6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We develop and leverage our competencies in target discovery, biomarker science and computational medicine to thoroughly profile a patient’s tumor sample and immune cells for the selection of suitable targets and treatments. Combined with our deep domain expertise in immuno-oncology and product vision, we are able to use this data to develop next-generation product candidates.</w:t>
      </w:r>
    </w:p>
    <w:p>
      <w:pPr>
        <w:spacing w:after="0" w:line="70" w:lineRule="exact"/>
        <w:rPr>
          <w:rFonts w:ascii="Arial" w:cs="Arial" w:eastAsia="Arial" w:hAnsi="Arial"/>
          <w:sz w:val="17"/>
          <w:szCs w:val="17"/>
          <w:color w:val="auto"/>
        </w:rPr>
      </w:pPr>
    </w:p>
    <w:p>
      <w:pPr>
        <w:ind w:left="640" w:right="80" w:hanging="436"/>
        <w:spacing w:after="0" w:line="286" w:lineRule="auto"/>
        <w:tabs>
          <w:tab w:leader="none" w:pos="6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We have developed and are iteratively optimizing next-generation therapeutic platforms leveraging four drug classes. Each therapeutic platform bundles innovations designed to deliver a distinct mode of action with high-precision targeting, high potency and efficacy. Each platform is being developed to provide a pipeline of drug candidates with complementary and potentially synergistic modes of action.</w:t>
      </w:r>
    </w:p>
    <w:p>
      <w:pPr>
        <w:spacing w:after="0" w:line="70" w:lineRule="exact"/>
        <w:rPr>
          <w:rFonts w:ascii="Arial" w:cs="Arial" w:eastAsia="Arial" w:hAnsi="Arial"/>
          <w:sz w:val="17"/>
          <w:szCs w:val="17"/>
          <w:color w:val="auto"/>
        </w:rPr>
      </w:pPr>
    </w:p>
    <w:p>
      <w:pPr>
        <w:ind w:left="640" w:right="80" w:hanging="436"/>
        <w:spacing w:after="0" w:line="264" w:lineRule="auto"/>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drug platforms are highly versatile and support the fast development of scalable manufacturing processes. We develop and establish highly digitalized and automated manufacturing technologies and quality controlled processes enabling fast delivery of customized therapies comprising off-the-shelf drugs, on-demand immunotherapies, and combinations thereof.</w:t>
      </w:r>
    </w:p>
    <w:p>
      <w:pPr>
        <w:spacing w:after="0" w:line="181"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We invest in innovation whenever we encounter technology barriers which may constrain clinical success. We are technology-agnostic and we seek to utilize the technology that is most suited for the respective purpose. By focusing on the three pillars discussed above over the last decade, we have integrated all of the building blocks of immunotherapy under one roof, enabling an approach with the potential to optimize patient outcomes.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Broad and Potentially Synergistic Suite of Platforms</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believe the depth and breadth of our understanding of immune system and cancer biology allows us to create an extensive pipeline of specific and potentially efficacious product candidates. We are exploiting a comprehensive repertoire of known and proprietary therapeutically relevant immuno-oncology targets and are developing a diverse spectrum of immunotherapeutic approaches,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131445</wp:posOffset>
            </wp:positionV>
            <wp:extent cx="5205730" cy="19640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0573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We believe that harnessing complementary, potentially synergistic modes of action increases the likelihood of therapeutic success, reduces the risk of emergence of secondary resistance mechanisms, and also unlocks a larger potential market. Critically, this approach allows us to pursue a technology agnostic approach, providing the most appropriate therapeutic platform or a combination thereof for the intended patient and purpose.</w:t>
      </w:r>
    </w:p>
    <w:p>
      <w:pPr>
        <w:spacing w:after="0" w:line="14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For example, we believe our neoantigen immunotherapies are particularly well-suited to treat high mutation load cancers in the adjuvant setting to prevent the tumor from spreading or recurring following initial treatment such as surgery. In this setting, tumor volumes tend to be low and there remains the potential for strong T cell responses since the patient’s immune system has not been weakened by prior lines of treatment, and checkpoint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inhibition alone often offers a poor risk-benefit profile or low response rate. Similarly, we believe our FixVac, CAR T and next-generation checkpoint immunomodulator platforms may have especially strong potential in lower mutation burden tumors such as ovarian or prostate cancers, which comprise a significant proportion of tumors and often also have a poor response to checkpoint inhibition. Likewise, we believe that monoclonal targeted cancer antibodies and CAR-T cell therapies are particularly well-suited for tumors that have defects in their antigen-presentation machinery.</w:t>
      </w:r>
    </w:p>
    <w:p>
      <w:pPr>
        <w:spacing w:after="0" w:line="154"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We believe our technology breadth is greater than the sum of its parts in that it positions us to combine modes of action in a coordinated way to treat cancer in a more efficacious manner than current existing therapies. We further believe that our patient-centric approach and our broad, potentially synergistic portfolio of drug platforms place us at the forefront of the paradigm shift toward individualized immunotherapies.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131445</wp:posOffset>
            </wp:positionV>
            <wp:extent cx="5196840" cy="17240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9684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Diversity of cancer patient populations, challenges and our therapeutic strategies. </w:t>
      </w:r>
      <w:r>
        <w:rPr>
          <w:rFonts w:ascii="Arial" w:cs="Arial" w:eastAsia="Arial" w:hAnsi="Arial"/>
          <w:sz w:val="13"/>
          <w:szCs w:val="13"/>
          <w:color w:val="auto"/>
        </w:rPr>
        <w:t>We believe our diversified portfolio allows us to potentially address a large share of cancer patients.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Abbreviations: TME, tumor microenvironment; B2M, beta-2 microglobulin, a component of MHC.</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VII. Selection of Therapeutic Targets and Therapies</w:t>
      </w:r>
    </w:p>
    <w:p>
      <w:pPr>
        <w:spacing w:after="0" w:line="229"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 xml:space="preserve">Immunotherapy targets can be categorized as </w:t>
      </w:r>
      <w:r>
        <w:rPr>
          <w:rFonts w:ascii="Arial" w:cs="Arial" w:eastAsia="Arial" w:hAnsi="Arial"/>
          <w:sz w:val="18"/>
          <w:szCs w:val="18"/>
          <w:i w:val="1"/>
          <w:iCs w:val="1"/>
          <w:color w:val="auto"/>
        </w:rPr>
        <w:t>antigens</w:t>
      </w:r>
      <w:r>
        <w:rPr>
          <w:rFonts w:ascii="Arial" w:cs="Arial" w:eastAsia="Arial" w:hAnsi="Arial"/>
          <w:sz w:val="18"/>
          <w:szCs w:val="18"/>
          <w:color w:val="auto"/>
        </w:rPr>
        <w:t xml:space="preserve"> for targeted immunotherapy with antibody- or T cell-based effector mechanisms and </w:t>
      </w:r>
      <w:r>
        <w:rPr>
          <w:rFonts w:ascii="Arial" w:cs="Arial" w:eastAsia="Arial" w:hAnsi="Arial"/>
          <w:sz w:val="18"/>
          <w:szCs w:val="18"/>
          <w:i w:val="1"/>
          <w:iCs w:val="1"/>
          <w:color w:val="auto"/>
        </w:rPr>
        <w:t xml:space="preserve">immunomodulatory targets </w:t>
      </w:r>
      <w:r>
        <w:rPr>
          <w:rFonts w:ascii="Arial" w:cs="Arial" w:eastAsia="Arial" w:hAnsi="Arial"/>
          <w:sz w:val="18"/>
          <w:szCs w:val="18"/>
          <w:color w:val="auto"/>
        </w:rPr>
        <w:t>to be exploited to improve the anti-tumoral function of immune cells.</w:t>
      </w:r>
    </w:p>
    <w:p>
      <w:pPr>
        <w:spacing w:after="0" w:line="315" w:lineRule="exact"/>
        <w:rPr>
          <w:sz w:val="20"/>
          <w:szCs w:val="20"/>
          <w:color w:val="auto"/>
        </w:rPr>
      </w:pPr>
    </w:p>
    <w:p>
      <w:pPr>
        <w:ind w:left="1180" w:hanging="544"/>
        <w:spacing w:after="0"/>
        <w:tabs>
          <w:tab w:leader="none" w:pos="11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Targeting Cancer Antigens</w:t>
      </w:r>
    </w:p>
    <w:p>
      <w:pPr>
        <w:spacing w:after="0" w:line="22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order to address the broadest possible number of patients, our therapeutically targeted cancer antigen library comprises tumor associated antigens, viral neoantigens and mutant neoantigens:</w:t>
      </w:r>
    </w:p>
    <w:p>
      <w:pPr>
        <w:spacing w:after="0" w:line="319" w:lineRule="exact"/>
        <w:rPr>
          <w:sz w:val="20"/>
          <w:szCs w:val="20"/>
          <w:color w:val="auto"/>
        </w:rPr>
      </w:pPr>
    </w:p>
    <w:p>
      <w:pPr>
        <w:ind w:left="1620" w:hanging="430"/>
        <w:spacing w:after="0"/>
        <w:tabs>
          <w:tab w:leader="none" w:pos="162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Tumor Associated Antigens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Tumor associated antigens, or TAAs, are cancer selective targets that typically have a highly restricted expression pattern in normal tissues but are frequently expressed in a wide range of human cancers. Over the last 15 years, we have built up a database of approximately 200 cancer-selective antigens, including proprietary disease targets that could be used as targets for immunotherapy-based approaches.</w:t>
      </w:r>
    </w:p>
    <w:p>
      <w:pPr>
        <w:spacing w:after="0" w:line="71" w:lineRule="exact"/>
        <w:rPr>
          <w:sz w:val="20"/>
          <w:szCs w:val="20"/>
          <w:color w:val="auto"/>
        </w:rPr>
      </w:pPr>
    </w:p>
    <w:p>
      <w:pPr>
        <w:ind w:left="640" w:right="20" w:hanging="328"/>
        <w:spacing w:after="0" w:line="286"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Cancer-Germline and Cancer-Embryo-Fetal Antigens, which are normally expressed during embryonal development and silenced after birth or restricted to germline cells. These antigens are aberrantly expressed in a variety of human malignancies and are generally not expressed in healthy tissue, making them particularly suitable for our FixVac-, antibody- and CAR-T cell-based therapeutic approaches.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24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hanging="328"/>
        <w:spacing w:after="0" w:line="264" w:lineRule="auto"/>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Differentiation antigens, which are normally expressed in a highly tissue-specific manner in normal tissues (</w:t>
      </w:r>
      <w:r>
        <w:rPr>
          <w:rFonts w:ascii="Arial" w:cs="Arial" w:eastAsia="Arial" w:hAnsi="Arial"/>
          <w:sz w:val="18"/>
          <w:szCs w:val="18"/>
          <w:i w:val="1"/>
          <w:iCs w:val="1"/>
          <w:color w:val="auto"/>
        </w:rPr>
        <w:t>e.g.</w:t>
      </w:r>
      <w:r>
        <w:rPr>
          <w:rFonts w:ascii="Arial" w:cs="Arial" w:eastAsia="Arial" w:hAnsi="Arial"/>
          <w:sz w:val="18"/>
          <w:szCs w:val="18"/>
          <w:color w:val="auto"/>
        </w:rPr>
        <w:t>, on melanocytes or on prostate cells) but are also present in a high proportion of tumors derived from these tissues, are well-suited for therapeutic targeting with FixVac and antibody approaches.</w:t>
      </w:r>
    </w:p>
    <w:p>
      <w:pPr>
        <w:spacing w:after="0" w:line="86" w:lineRule="exact"/>
        <w:rPr>
          <w:rFonts w:ascii="Arial" w:cs="Arial" w:eastAsia="Arial" w:hAnsi="Arial"/>
          <w:sz w:val="18"/>
          <w:szCs w:val="18"/>
          <w:color w:val="auto"/>
        </w:rPr>
      </w:pPr>
    </w:p>
    <w:p>
      <w:pPr>
        <w:ind w:left="640" w:right="880" w:hanging="328"/>
        <w:spacing w:after="0" w:line="277" w:lineRule="auto"/>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Tumor-associated carbohydrate antigens are carbohydrate-based cell surface tumor antigens generated by cancer cell-specific aberrant glycosylation that enable the development of antibody and CAR-T cell therapies.</w:t>
      </w:r>
    </w:p>
    <w:p>
      <w:pPr>
        <w:spacing w:after="0" w:line="319" w:lineRule="exact"/>
        <w:rPr>
          <w:sz w:val="20"/>
          <w:szCs w:val="20"/>
          <w:color w:val="auto"/>
        </w:rPr>
      </w:pPr>
    </w:p>
    <w:p>
      <w:pPr>
        <w:ind w:left="1620" w:hanging="430"/>
        <w:spacing w:after="0"/>
        <w:tabs>
          <w:tab w:leader="none" w:pos="162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Viral Neoantigens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Viral oncoproteins, or viral neoantigens, are virus-derived proteins that drive the oncogenic transformation of infected cells by viruses that can cause cancer. Examples are the E6 and E7 oncoproteins from human papilloma virus, or HPV. Viral oncoproteins are commonly acknowledged as safe and promising targets for immunotherapy as they are (i) absent from any non-infected tissue, (ii) highly immunogenic since they are not prone to central tolerance mechanisms and (iii) not subject to immune escape by gene silencing as they are crucial to maintaining the transformed state of the tumor cells. We leverage viral neoantigens as targets for our BNT113 FixVac program in HPV16+ head and neck cancer.</w:t>
      </w:r>
    </w:p>
    <w:p>
      <w:pPr>
        <w:spacing w:after="0" w:line="321" w:lineRule="exact"/>
        <w:rPr>
          <w:sz w:val="20"/>
          <w:szCs w:val="20"/>
          <w:color w:val="auto"/>
        </w:rPr>
      </w:pPr>
    </w:p>
    <w:p>
      <w:pPr>
        <w:ind w:left="1620" w:hanging="430"/>
        <w:spacing w:after="0"/>
        <w:tabs>
          <w:tab w:leader="none" w:pos="162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Mutant Neoantigens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Somatic mutations, or mutations of non-germline cells, are a hallmark of cancer. Driver mutations promote the oncogenic process, whereas passenger mutations are considered as functionally irrelevant. Both types of mutations, however, can alter the sequence of proteins and create new epitopes which are processed and presented on specialized major histocompatibility complex, or MHC, molecules. Mutated epitopes that are recognized by T cells are called neoepitopes and the sequence-altered proteins they are derived from are neoantigens. They are promising targets for cancer immunotherapy as (i) activation of the immune system against such antigens is highly specific (they are only expressed on cancer cells) and (ii) mutant neoantigens are exempt from central tolerance and thus T cell affinity for neoantigens may be significantly superior. We utilize individualized mutant neoantigens as targets for our iNeST product candidates.</w:t>
      </w:r>
    </w:p>
    <w:p>
      <w:pPr>
        <w:spacing w:after="0" w:line="322" w:lineRule="exact"/>
        <w:rPr>
          <w:sz w:val="20"/>
          <w:szCs w:val="20"/>
          <w:color w:val="auto"/>
        </w:rPr>
      </w:pPr>
    </w:p>
    <w:p>
      <w:pPr>
        <w:ind w:left="1180" w:hanging="544"/>
        <w:spacing w:after="0"/>
        <w:tabs>
          <w:tab w:leader="none" w:pos="11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Immunomodulatory Targets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activity of immune cells can be controlled or manipulated by the targeting of receptors that control key biological processes in these cells, known as immunomodulation. Immunomodulatory targeting strategies include:</w:t>
      </w:r>
    </w:p>
    <w:p>
      <w:pPr>
        <w:spacing w:after="0" w:line="319" w:lineRule="exact"/>
        <w:rPr>
          <w:sz w:val="20"/>
          <w:szCs w:val="20"/>
          <w:color w:val="auto"/>
        </w:rPr>
      </w:pPr>
    </w:p>
    <w:p>
      <w:pPr>
        <w:ind w:left="1620" w:hanging="430"/>
        <w:spacing w:after="0"/>
        <w:tabs>
          <w:tab w:leader="none" w:pos="162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Checkpoint Inhibition</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Checkpoint inhibition is a therapeutic approach by which T cell function is stimulated with mAbs that block their inhibitory receptors, which can be exploited by cancer cells to shut down T cell activity. Examples of checkpoint targets are PD-1, PD-L1, CTLA-4, TIGIT, LAG3 and many others. The concept is known as “releasing the brakes” and has been shown to be therapeutically effective in tumors with strong pre-existing immune cell infiltration. Our GEN1046 (BNT311) product candidate is a next-generation bispecific checkpoint immunomodulator, with one arm targeting PD-L1.</w:t>
      </w:r>
    </w:p>
    <w:p>
      <w:pPr>
        <w:spacing w:after="0" w:line="303" w:lineRule="exact"/>
        <w:rPr>
          <w:sz w:val="20"/>
          <w:szCs w:val="20"/>
          <w:color w:val="auto"/>
        </w:rPr>
      </w:pPr>
    </w:p>
    <w:p>
      <w:pPr>
        <w:ind w:left="1620" w:hanging="430"/>
        <w:spacing w:after="0"/>
        <w:tabs>
          <w:tab w:leader="none" w:pos="162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Immunostimulation</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Immunostimulatory approaches are directed against receptors known to directly activate immune cells. Examples of these targets include co-stimulatory molecules such as CD40 and 4-1BB or cytokine receptors such as IL-2R, IL-7R and IL-12R. Immunostimulatory approaches provide a powerful opportunity to enhance immune activation, even in types of cancer that are not responsive to checkpoint inhibition due to lack of immune cell infiltration. However, this approach is often limited by a narrow therapeutic window associated with dose-limiting toxicity.</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that both concepts can be combined in a potentially synergistic and safe fashion by developing precisely engineered molecules, such as our BNT151 RiboCytokine program or GEN1042 (BNT312), our next-generation bispecific checkpoint immunomodulator targeting both CD40 and 4-1BB.</w:t>
      </w:r>
    </w:p>
    <w:p>
      <w:pPr>
        <w:spacing w:after="0" w:line="326" w:lineRule="exact"/>
        <w:rPr>
          <w:sz w:val="20"/>
          <w:szCs w:val="20"/>
          <w:color w:val="auto"/>
        </w:rPr>
      </w:pPr>
    </w:p>
    <w:p>
      <w:pPr>
        <w:ind w:left="1180" w:hanging="544"/>
        <w:spacing w:after="0"/>
        <w:tabs>
          <w:tab w:leader="none" w:pos="11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Our Computational Approach to Individualized Immunotherapy</w:t>
      </w:r>
    </w:p>
    <w:p>
      <w:pPr>
        <w:spacing w:after="0" w:line="121" w:lineRule="exact"/>
        <w:rPr>
          <w:sz w:val="20"/>
          <w:szCs w:val="20"/>
          <w:color w:val="auto"/>
        </w:rPr>
      </w:pPr>
    </w:p>
    <w:p>
      <w:pPr>
        <w:jc w:val="both"/>
        <w:ind w:left="200" w:right="660" w:firstLine="441"/>
        <w:spacing w:after="0" w:line="342" w:lineRule="auto"/>
        <w:rPr>
          <w:sz w:val="20"/>
          <w:szCs w:val="20"/>
          <w:color w:val="auto"/>
        </w:rPr>
      </w:pPr>
      <w:r>
        <w:rPr>
          <w:rFonts w:ascii="Arial" w:cs="Arial" w:eastAsia="Arial" w:hAnsi="Arial"/>
          <w:sz w:val="16"/>
          <w:szCs w:val="16"/>
          <w:color w:val="auto"/>
        </w:rPr>
        <w:t>Bioinformatics are critical in the production of individualized therapies. We have accumulated a high level of experience in bioinformatic approaches to mutation detection, cancer genomics and immunotherapy through our ongoing research and preclinical studies and clinical trials.</w:t>
      </w:r>
    </w:p>
    <w:p>
      <w:pPr>
        <w:spacing w:after="0" w:line="124"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Our validated patient-centric bioinformatic process, as illustrated below, allows the application of complex algorithms to the patient’s data in the context of drug manufacturing. Our bioinformatics processes are robust and scalable, incorporating our experience handling genomic data in a high-throughput environment, as we target making on-demand production of individualized immunotherapies commercially viable.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131445</wp:posOffset>
            </wp:positionV>
            <wp:extent cx="5213985" cy="13550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398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From Patient to Analysis. </w:t>
      </w:r>
      <w:r>
        <w:rPr>
          <w:rFonts w:ascii="Arial" w:cs="Arial" w:eastAsia="Arial" w:hAnsi="Arial"/>
          <w:sz w:val="14"/>
          <w:szCs w:val="14"/>
          <w:color w:val="auto"/>
        </w:rPr>
        <w:t>Our bioinformatic process for the selection of neoepitopes.</w:t>
      </w:r>
    </w:p>
    <w:p>
      <w:pPr>
        <w:spacing w:after="0" w:line="361" w:lineRule="exact"/>
        <w:rPr>
          <w:sz w:val="20"/>
          <w:szCs w:val="20"/>
          <w:color w:val="auto"/>
        </w:rPr>
      </w:pPr>
    </w:p>
    <w:p>
      <w:pPr>
        <w:ind w:left="1620" w:hanging="430"/>
        <w:spacing w:after="0"/>
        <w:tabs>
          <w:tab w:leader="none" w:pos="162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Sequencing</w:t>
      </w:r>
    </w:p>
    <w:p>
      <w:pPr>
        <w:spacing w:after="0" w:line="117"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We sequence the patient’s tumor and healthy tissue samples using NGS technology. Comparison of the patient’s sequenced tumor and healthy samples provides us with the data from which we can identify targets for the design of individualized cancer immunotherapies. This is a multi-step process in which mutation detection and neoantigen prediction are particularly important.</w:t>
      </w:r>
    </w:p>
    <w:p>
      <w:pPr>
        <w:spacing w:after="0" w:line="330" w:lineRule="exact"/>
        <w:rPr>
          <w:sz w:val="20"/>
          <w:szCs w:val="20"/>
          <w:color w:val="auto"/>
        </w:rPr>
      </w:pPr>
    </w:p>
    <w:p>
      <w:pPr>
        <w:ind w:left="1620" w:hanging="430"/>
        <w:spacing w:after="0"/>
        <w:tabs>
          <w:tab w:leader="none" w:pos="1620" w:val="left"/>
        </w:tabs>
        <w:numPr>
          <w:ilvl w:val="0"/>
          <w:numId w:val="1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Mutation Detection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Mutation detection, which defines which tumor-specific mutations are present in any cancer, is the starting point for defining targets for individualized immunotherapy. Determining mutations from NGS data with high precision and sensitivity is challenging because numerous factors can lead to false positives, which can mask mutations. Despite advances in the field, commonly used mutation detection algorithms still exhibit high false positive mutation detections. In order to address these challenges, we have exclusively licensed a technology from TRON that combines tumor modeling with mutation detection, called MyMUT. MyMUT is a next-generation mutation detection system, which we believe has the following key characteristics:</w:t>
      </w:r>
    </w:p>
    <w:p>
      <w:pPr>
        <w:spacing w:after="0" w:line="95" w:lineRule="exact"/>
        <w:rPr>
          <w:sz w:val="20"/>
          <w:szCs w:val="20"/>
          <w:color w:val="auto"/>
        </w:rPr>
      </w:pPr>
    </w:p>
    <w:p>
      <w:pPr>
        <w:ind w:left="640" w:right="40" w:hanging="328"/>
        <w:spacing w:after="0" w:line="277" w:lineRule="auto"/>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 xml:space="preserve">High specificity and robustness. </w:t>
      </w:r>
      <w:r>
        <w:rPr>
          <w:rFonts w:ascii="Arial" w:cs="Arial" w:eastAsia="Arial" w:hAnsi="Arial"/>
          <w:sz w:val="17"/>
          <w:szCs w:val="17"/>
          <w:color w:val="auto"/>
        </w:rPr>
        <w:t>By combining tumor modeling, sophisticated statistical and genomic filters, and replicate sampling, MyMUT</w:t>
      </w:r>
      <w:r>
        <w:rPr>
          <w:rFonts w:ascii="Arial" w:cs="Arial" w:eastAsia="Arial" w:hAnsi="Arial"/>
          <w:sz w:val="17"/>
          <w:szCs w:val="17"/>
          <w:b w:val="1"/>
          <w:bCs w:val="1"/>
          <w:color w:val="auto"/>
        </w:rPr>
        <w:t xml:space="preserve"> </w:t>
      </w:r>
      <w:r>
        <w:rPr>
          <w:rFonts w:ascii="Arial" w:cs="Arial" w:eastAsia="Arial" w:hAnsi="Arial"/>
          <w:sz w:val="17"/>
          <w:szCs w:val="17"/>
          <w:color w:val="auto"/>
        </w:rPr>
        <w:t>achieves clinical precision in detecting mutations with comparable sensitivity to state-of-the-art mutation detection systems. Higher specificity translates to potentially more effective immunotherapies, with faster and cheaper production. MyMUT is designed to deliver uniform performance for all patients regardless of tumor complexity, mutation burden or sample purity. MyMUT’s performance with low mutation tumors also allows us to offer individualized immunotherapies to patients with low tumor mutation burdens.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328"/>
        <w:spacing w:after="0" w:line="266" w:lineRule="auto"/>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Intratumor heterogeneity. </w:t>
      </w:r>
      <w:r>
        <w:rPr>
          <w:rFonts w:ascii="Arial" w:cs="Arial" w:eastAsia="Arial" w:hAnsi="Arial"/>
          <w:sz w:val="18"/>
          <w:szCs w:val="18"/>
          <w:color w:val="auto"/>
        </w:rPr>
        <w:t>By performing tumor modeling, MyMUT can also identify clonal and subclonal mutations with high precision,</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prioritize the former in neoantigen-directed immunotherapies and address intratumoral heterogeneity by targeting mutations that are common in a higher proportion of cancer cells within a tumor.</w:t>
      </w:r>
    </w:p>
    <w:p>
      <w:pPr>
        <w:spacing w:after="0" w:line="81" w:lineRule="exact"/>
        <w:rPr>
          <w:rFonts w:ascii="Arial" w:cs="Arial" w:eastAsia="Arial" w:hAnsi="Arial"/>
          <w:sz w:val="18"/>
          <w:szCs w:val="18"/>
          <w:color w:val="auto"/>
        </w:rPr>
      </w:pPr>
    </w:p>
    <w:p>
      <w:pPr>
        <w:ind w:left="640" w:right="120" w:hanging="328"/>
        <w:spacing w:after="0" w:line="282" w:lineRule="auto"/>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 xml:space="preserve">Quality control (QC). </w:t>
      </w:r>
      <w:r>
        <w:rPr>
          <w:rFonts w:ascii="Arial" w:cs="Arial" w:eastAsia="Arial" w:hAnsi="Arial"/>
          <w:sz w:val="18"/>
          <w:szCs w:val="18"/>
          <w:color w:val="auto"/>
        </w:rPr>
        <w:t>By analyzing the genomic properties of sequenced samples, MyMUT can detect errors that pass standard sequencing QC,</w:t>
      </w:r>
      <w:r>
        <w:rPr>
          <w:rFonts w:ascii="Arial" w:cs="Arial" w:eastAsia="Arial" w:hAnsi="Arial"/>
          <w:sz w:val="18"/>
          <w:szCs w:val="18"/>
          <w:b w:val="1"/>
          <w:bCs w:val="1"/>
          <w:color w:val="auto"/>
        </w:rPr>
        <w:t xml:space="preserve"> </w:t>
      </w:r>
      <w:r>
        <w:rPr>
          <w:rFonts w:ascii="Arial" w:cs="Arial" w:eastAsia="Arial" w:hAnsi="Arial"/>
          <w:sz w:val="18"/>
          <w:szCs w:val="18"/>
          <w:color w:val="auto"/>
        </w:rPr>
        <w:t>ensuring the quality and safety of individualized immunotherapies.</w:t>
      </w:r>
    </w:p>
    <w:p>
      <w:pPr>
        <w:spacing w:after="0" w:line="314" w:lineRule="exact"/>
        <w:rPr>
          <w:sz w:val="20"/>
          <w:szCs w:val="20"/>
          <w:color w:val="auto"/>
        </w:rPr>
      </w:pPr>
    </w:p>
    <w:p>
      <w:pPr>
        <w:ind w:left="1620" w:hanging="430"/>
        <w:spacing w:after="0"/>
        <w:tabs>
          <w:tab w:leader="none" w:pos="1620" w:val="left"/>
        </w:tabs>
        <w:numPr>
          <w:ilvl w:val="0"/>
          <w:numId w:val="1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Neoepitope Selection</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 xml:space="preserve">Only a portion of mutated peptides (neoepitopes) are suitable for raising an immune response </w:t>
      </w:r>
      <w:r>
        <w:rPr>
          <w:rFonts w:ascii="Arial" w:cs="Arial" w:eastAsia="Arial" w:hAnsi="Arial"/>
          <w:sz w:val="17"/>
          <w:szCs w:val="17"/>
          <w:i w:val="1"/>
          <w:iCs w:val="1"/>
          <w:color w:val="auto"/>
        </w:rPr>
        <w:t>in vivo</w:t>
      </w:r>
      <w:r>
        <w:rPr>
          <w:rFonts w:ascii="Arial" w:cs="Arial" w:eastAsia="Arial" w:hAnsi="Arial"/>
          <w:sz w:val="17"/>
          <w:szCs w:val="17"/>
          <w:color w:val="auto"/>
        </w:rPr>
        <w:t>. Our approach focuses on evoking responses involving both CD8</w:t>
      </w:r>
      <w:r>
        <w:rPr>
          <w:rFonts w:ascii="Arial" w:cs="Arial" w:eastAsia="Arial" w:hAnsi="Arial"/>
          <w:sz w:val="14"/>
          <w:szCs w:val="14"/>
          <w:color w:val="auto"/>
        </w:rPr>
        <w:t>+</w:t>
      </w:r>
      <w:r>
        <w:rPr>
          <w:rFonts w:ascii="Arial" w:cs="Arial" w:eastAsia="Arial" w:hAnsi="Arial"/>
          <w:sz w:val="17"/>
          <w:szCs w:val="17"/>
          <w:color w:val="auto"/>
        </w:rPr>
        <w:t xml:space="preserve"> T cells and CD4</w:t>
      </w:r>
      <w:r>
        <w:rPr>
          <w:rFonts w:ascii="Arial" w:cs="Arial" w:eastAsia="Arial" w:hAnsi="Arial"/>
          <w:sz w:val="14"/>
          <w:szCs w:val="14"/>
          <w:color w:val="auto"/>
        </w:rPr>
        <w:t>+</w:t>
      </w:r>
      <w:r>
        <w:rPr>
          <w:rFonts w:ascii="Arial" w:cs="Arial" w:eastAsia="Arial" w:hAnsi="Arial"/>
          <w:sz w:val="17"/>
          <w:szCs w:val="17"/>
          <w:color w:val="auto"/>
        </w:rPr>
        <w:t xml:space="preserve"> T cells. We do this by discerning the likelihood of presentation of the neoepitope to the T cell receptor as an MHC peptide complex using data from mRNA expression levels and MHC binding affinity predictions, among other factors. For example, in our first individualized neoepitope immunotherapy clinical study, all 13 stage III and IV melanoma patients selected for treatment developed a CD4</w:t>
      </w:r>
      <w:r>
        <w:rPr>
          <w:rFonts w:ascii="Arial" w:cs="Arial" w:eastAsia="Arial" w:hAnsi="Arial"/>
          <w:sz w:val="14"/>
          <w:szCs w:val="14"/>
          <w:color w:val="auto"/>
        </w:rPr>
        <w:t>+</w:t>
      </w:r>
      <w:r>
        <w:rPr>
          <w:rFonts w:ascii="Arial" w:cs="Arial" w:eastAsia="Arial" w:hAnsi="Arial"/>
          <w:sz w:val="17"/>
          <w:szCs w:val="17"/>
          <w:color w:val="auto"/>
        </w:rPr>
        <w:t xml:space="preserve"> and/or CD8</w:t>
      </w:r>
      <w:r>
        <w:rPr>
          <w:rFonts w:ascii="Arial" w:cs="Arial" w:eastAsia="Arial" w:hAnsi="Arial"/>
          <w:sz w:val="14"/>
          <w:szCs w:val="14"/>
          <w:color w:val="auto"/>
        </w:rPr>
        <w:t>+</w:t>
      </w:r>
      <w:r>
        <w:rPr>
          <w:rFonts w:ascii="Arial" w:cs="Arial" w:eastAsia="Arial" w:hAnsi="Arial"/>
          <w:sz w:val="17"/>
          <w:szCs w:val="17"/>
          <w:color w:val="auto"/>
        </w:rPr>
        <w:t xml:space="preserve"> T cell response, achieving an overall 60% immune response rate to predicted neoepitopes.</w:t>
      </w:r>
    </w:p>
    <w:p>
      <w:pPr>
        <w:spacing w:after="0" w:line="17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Presentation of a neoepitope on an MHC molecule does not, however, guarantee recognition by T cells, and an integrated view combining several properties impacting immunogenicity is necessary. Our algorithms are continuously being improved and extended with data collections from various sources such as our past and current clinical studies as well as HLA data. By using machine learning approaches applied to these large datasets we aim to further improve prediction of overall presentation of neoepitopes tailored to patients’ specific HLA types.</w:t>
      </w:r>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VIII. Our mRNA Drug Class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a glance: mRNA as a Therapeutic Drug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31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7700" cy="1431925"/>
                    </a:xfrm>
                    <a:prstGeom prst="rect">
                      <a:avLst/>
                    </a:prstGeom>
                    <a:noFill/>
                  </pic:spPr>
                </pic:pic>
              </a:graphicData>
            </a:graphic>
          </wp:anchor>
        </w:drawing>
      </w:r>
    </w:p>
    <w:p>
      <w:pPr>
        <w:spacing w:after="0" w:line="111" w:lineRule="exact"/>
        <w:rPr>
          <w:sz w:val="20"/>
          <w:szCs w:val="20"/>
          <w:color w:val="auto"/>
        </w:rPr>
      </w:pPr>
    </w:p>
    <w:p>
      <w:pPr>
        <w:ind w:left="540" w:hanging="246"/>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Natural molecule found universally within cells, with well-characterized properties.</w:t>
      </w:r>
    </w:p>
    <w:p>
      <w:pPr>
        <w:spacing w:after="0" w:line="130" w:lineRule="exact"/>
        <w:rPr>
          <w:rFonts w:ascii="Arial" w:cs="Arial" w:eastAsia="Arial" w:hAnsi="Arial"/>
          <w:sz w:val="18"/>
          <w:szCs w:val="18"/>
          <w:color w:val="auto"/>
        </w:rPr>
      </w:pPr>
    </w:p>
    <w:p>
      <w:pPr>
        <w:ind w:left="540" w:hanging="246"/>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Suitable to encode for antibodies, antigens, cytokines and any other type of protein.</w:t>
      </w:r>
    </w:p>
    <w:p>
      <w:pPr>
        <w:spacing w:after="0" w:line="130" w:lineRule="exact"/>
        <w:rPr>
          <w:rFonts w:ascii="Arial" w:cs="Arial" w:eastAsia="Arial" w:hAnsi="Arial"/>
          <w:sz w:val="18"/>
          <w:szCs w:val="18"/>
          <w:color w:val="auto"/>
        </w:rPr>
      </w:pPr>
    </w:p>
    <w:p>
      <w:pPr>
        <w:ind w:left="560" w:right="360" w:hanging="266"/>
        <w:spacing w:after="0" w:line="277" w:lineRule="auto"/>
        <w:tabs>
          <w:tab w:leader="none" w:pos="5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Transient, with adaptable activity and half-life. Avoids genomic integration problems sometimes seen in gene therapy, potentially resulting in a better safety profile.</w:t>
      </w:r>
    </w:p>
    <w:p>
      <w:pPr>
        <w:spacing w:after="0" w:line="75" w:lineRule="exact"/>
        <w:rPr>
          <w:rFonts w:ascii="Arial" w:cs="Arial" w:eastAsia="Arial" w:hAnsi="Arial"/>
          <w:sz w:val="18"/>
          <w:szCs w:val="18"/>
          <w:color w:val="auto"/>
        </w:rPr>
      </w:pPr>
    </w:p>
    <w:p>
      <w:pPr>
        <w:ind w:left="540" w:hanging="246"/>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Can be designed and optimized pharmacologically and immunologically, making it suitable for a broad range of applications.</w:t>
      </w:r>
    </w:p>
    <w:p>
      <w:pPr>
        <w:spacing w:after="0" w:line="130" w:lineRule="exact"/>
        <w:rPr>
          <w:rFonts w:ascii="Arial" w:cs="Arial" w:eastAsia="Arial" w:hAnsi="Arial"/>
          <w:sz w:val="18"/>
          <w:szCs w:val="18"/>
          <w:color w:val="auto"/>
        </w:rPr>
      </w:pPr>
    </w:p>
    <w:p>
      <w:pPr>
        <w:ind w:left="540" w:hanging="246"/>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Fast manufacturability, making it an inexpensive and flexible therapeutic to produce.</w:t>
      </w:r>
    </w:p>
    <w:p>
      <w:pPr>
        <w:spacing w:after="0" w:line="36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the last decade mRNA has progressed into a promising new class of medicine, with the potential to treat a wide variety of diseases with high unmet medical needs. mRNA is a long, polymeric molecule, composed of four different building blocks called nucleotides. In mRNA, hundreds or thousands of these nucleotides are linked in a unique order to convey genetic information to cells, where it is used to express proteins with biological effects.</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Considering that all mRNA is generated with four different building blocks, but with unique sequence order, all therapeutic mRNAs have highly similar compositions, while having the capacity to encode a variety of different proteins. These characteristics allow for rapid development of mRNA therapeutics that are broadly applicable for treatment of many diseases, including cancer, infectious diseases and rare diseases. Our mRNA pipeline addresses all of these therapeutic areas.</w:t>
      </w:r>
    </w:p>
    <w:p>
      <w:pPr>
        <w:spacing w:after="0" w:line="331" w:lineRule="exact"/>
        <w:rPr>
          <w:sz w:val="20"/>
          <w:szCs w:val="20"/>
          <w:color w:val="auto"/>
        </w:rPr>
      </w:pPr>
    </w:p>
    <w:p>
      <w:pPr>
        <w:ind w:left="1180" w:hanging="544"/>
        <w:spacing w:after="0"/>
        <w:tabs>
          <w:tab w:leader="none" w:pos="11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Principles of mRNA Pharmacology</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a drug, manufactured mRNA provides instructions to a target cell to produce a desired therapeutic protein. The mRNA drug will temporarily change the status of the target cell where these instructions 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translated into proteins. Based on the information encoded by the mRNA, the proteins will be either secreted or remain intracellular. The mRNA drug will eventually be degraded and eliminated from the body.</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mRNA drugs are synthesized from a DNA template. With the exception of the 5’ cap, the template determines all structural elements of the mRNA. The mRNA molecule comprises:</w:t>
      </w:r>
    </w:p>
    <w:p>
      <w:pPr>
        <w:spacing w:after="0" w:line="76" w:lineRule="exact"/>
        <w:rPr>
          <w:sz w:val="20"/>
          <w:szCs w:val="20"/>
          <w:color w:val="auto"/>
        </w:rPr>
      </w:pPr>
    </w:p>
    <w:p>
      <w:pPr>
        <w:ind w:left="640" w:hanging="328"/>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open reading frame, or ORF, which encodes for the protein of interest;</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untranslated regions, or UTRs, which flank the ORF; and</w:t>
      </w:r>
    </w:p>
    <w:p>
      <w:pPr>
        <w:spacing w:after="0" w:line="130" w:lineRule="exact"/>
        <w:rPr>
          <w:rFonts w:ascii="Arial" w:cs="Arial" w:eastAsia="Arial" w:hAnsi="Arial"/>
          <w:sz w:val="18"/>
          <w:szCs w:val="18"/>
          <w:color w:val="auto"/>
        </w:rPr>
      </w:pPr>
    </w:p>
    <w:p>
      <w:pPr>
        <w:ind w:left="640" w:right="20" w:hanging="328"/>
        <w:spacing w:after="0" w:line="277"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cap and the poly(A) tail, which are the two terminal structures of the linear mRNA, and are responsible for increased stability and translational efficiency of mRNA.</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mRNA drug needs to be appropriately formulated in order to protect it from breakdown by extracellular RNAses. The formulation is selected based on the intended application and route of delivery. After uptake into the target cell, the mRNA molecules are loaded into ribosomes, where translation into protein takes place. Subsequently, the mRNA is degraded by cellular mechanisms. In case of an immunotherapy application, the protein is degraded into immunogenic epitopes. These are loaded onto specialized molecules, namely MHC I or MHC II. These molecules present the epitopes to immune cells to provoke the desired immune response. In the case of other mRNA applications, the mRNA encodes proteins that are secreted from the cells, such as antibodies, and function extracellularly.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148590</wp:posOffset>
            </wp:positionV>
            <wp:extent cx="5213985" cy="3370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3985"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General principles of mRNA pharmacology. </w:t>
      </w:r>
      <w:r>
        <w:rPr>
          <w:rFonts w:ascii="Arial" w:cs="Arial" w:eastAsia="Arial" w:hAnsi="Arial"/>
          <w:sz w:val="13"/>
          <w:szCs w:val="13"/>
          <w:color w:val="auto"/>
        </w:rPr>
        <w:t>Step 1: mRNA is either delivered in a buffered solution as naked molecules or formulated as nano-particles to protect degradation by</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extracellular enzymes and is taken up by cells. Step 2: Subsequently, mRNA is released from endosomes into the cytoplasm. Step 3: mRNA is translated by the protein synthesis machinery of</w:t>
      </w:r>
    </w:p>
    <w:p>
      <w:pPr>
        <w:ind w:left="200"/>
        <w:spacing w:after="0"/>
        <w:rPr>
          <w:sz w:val="20"/>
          <w:szCs w:val="20"/>
          <w:color w:val="auto"/>
        </w:rPr>
      </w:pPr>
      <w:r>
        <w:rPr>
          <w:rFonts w:ascii="Arial" w:cs="Arial" w:eastAsia="Arial" w:hAnsi="Arial"/>
          <w:sz w:val="13"/>
          <w:szCs w:val="13"/>
          <w:color w:val="auto"/>
        </w:rPr>
        <w:t>host cells. Step 4: Termination of translation by degradation of mRNA. Step 5: The translated protein product acts in the cell in which it has been generated. Step 6: Alternatively, the protein</w:t>
      </w:r>
    </w:p>
    <w:p>
      <w:pPr>
        <w:ind w:left="200"/>
        <w:spacing w:after="0"/>
        <w:rPr>
          <w:sz w:val="20"/>
          <w:szCs w:val="20"/>
          <w:color w:val="auto"/>
        </w:rPr>
      </w:pPr>
      <w:r>
        <w:rPr>
          <w:rFonts w:ascii="Arial" w:cs="Arial" w:eastAsia="Arial" w:hAnsi="Arial"/>
          <w:sz w:val="12"/>
          <w:szCs w:val="12"/>
          <w:color w:val="auto"/>
        </w:rPr>
        <w:t>product is secreted and may act via autocrine, paracrine or systemic, body-wide mechanisms. Steps 7 and 8: For vaccine activity, mRNA encoded antigens are degraded into shorter fragments</w:t>
      </w:r>
    </w:p>
    <w:p>
      <w:pPr>
        <w:spacing w:after="0" w:line="11" w:lineRule="exact"/>
        <w:rPr>
          <w:sz w:val="20"/>
          <w:szCs w:val="20"/>
          <w:color w:val="auto"/>
        </w:rPr>
      </w:pPr>
    </w:p>
    <w:p>
      <w:pPr>
        <w:ind w:left="200" w:right="240"/>
        <w:spacing w:after="0" w:line="237" w:lineRule="auto"/>
        <w:rPr>
          <w:sz w:val="20"/>
          <w:szCs w:val="20"/>
          <w:color w:val="auto"/>
        </w:rPr>
      </w:pPr>
      <w:r>
        <w:rPr>
          <w:rFonts w:ascii="Arial" w:cs="Arial" w:eastAsia="Arial" w:hAnsi="Arial"/>
          <w:sz w:val="14"/>
          <w:szCs w:val="14"/>
          <w:color w:val="auto"/>
        </w:rPr>
        <w:t>and loaded onto MHC class I and class II molecules. Step 9: Protein-derived epitopes can then be presented on the cell surface by both MHC class I and MHC class II molecules, enabling stimulation of CD8</w:t>
      </w:r>
      <w:r>
        <w:rPr>
          <w:rFonts w:ascii="Arial" w:cs="Arial" w:eastAsia="Arial" w:hAnsi="Arial"/>
          <w:sz w:val="12"/>
          <w:szCs w:val="12"/>
          <w:color w:val="auto"/>
        </w:rPr>
        <w:t>+</w:t>
      </w:r>
      <w:r>
        <w:rPr>
          <w:rFonts w:ascii="Arial" w:cs="Arial" w:eastAsia="Arial" w:hAnsi="Arial"/>
          <w:sz w:val="14"/>
          <w:szCs w:val="14"/>
          <w:color w:val="auto"/>
        </w:rPr>
        <w:t xml:space="preserve"> and CD4</w:t>
      </w:r>
      <w:r>
        <w:rPr>
          <w:rFonts w:ascii="Arial" w:cs="Arial" w:eastAsia="Arial" w:hAnsi="Arial"/>
          <w:sz w:val="12"/>
          <w:szCs w:val="12"/>
          <w:color w:val="auto"/>
        </w:rPr>
        <w:t>+</w:t>
      </w:r>
      <w:r>
        <w:rPr>
          <w:rFonts w:ascii="Arial" w:cs="Arial" w:eastAsia="Arial" w:hAnsi="Arial"/>
          <w:sz w:val="14"/>
          <w:szCs w:val="14"/>
          <w:color w:val="auto"/>
        </w:rPr>
        <w:t xml:space="preserve"> T cells.</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structural elements of the mRNA have an impact on its performance. This includes potential immunogenicity, efficacy of translation and stability of the molecule. We leverage our extensive experience to design, synthesize, manufacture and formulate our therapeutic mRNA, and adapt its composition to suit the desired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141605</wp:posOffset>
            </wp:positionV>
            <wp:extent cx="5196840" cy="3207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9684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line="268" w:lineRule="auto"/>
        <w:rPr>
          <w:sz w:val="20"/>
          <w:szCs w:val="20"/>
          <w:color w:val="auto"/>
        </w:rPr>
      </w:pPr>
      <w:r>
        <w:rPr>
          <w:rFonts w:ascii="Arial" w:cs="Arial" w:eastAsia="Arial" w:hAnsi="Arial"/>
          <w:sz w:val="13"/>
          <w:szCs w:val="13"/>
          <w:b w:val="1"/>
          <w:bCs w:val="1"/>
          <w:color w:val="auto"/>
        </w:rPr>
        <w:t xml:space="preserve">Our strategy for optimizing mRNA potency. </w:t>
      </w:r>
      <w:r>
        <w:rPr>
          <w:rFonts w:ascii="Arial" w:cs="Arial" w:eastAsia="Arial" w:hAnsi="Arial"/>
          <w:sz w:val="13"/>
          <w:szCs w:val="13"/>
          <w:color w:val="auto"/>
        </w:rPr>
        <w:t>The pharmacological properties of mRNA can be improved by biochemical optimization of the molecule for either (i) increasing the half-life</w:t>
      </w:r>
      <w:r>
        <w:rPr>
          <w:rFonts w:ascii="Arial" w:cs="Arial" w:eastAsia="Arial" w:hAnsi="Arial"/>
          <w:sz w:val="13"/>
          <w:szCs w:val="13"/>
          <w:b w:val="1"/>
          <w:bCs w:val="1"/>
          <w:color w:val="auto"/>
        </w:rPr>
        <w:t xml:space="preserve"> </w:t>
      </w:r>
      <w:r>
        <w:rPr>
          <w:rFonts w:ascii="Arial" w:cs="Arial" w:eastAsia="Arial" w:hAnsi="Arial"/>
          <w:sz w:val="13"/>
          <w:szCs w:val="13"/>
          <w:color w:val="auto"/>
        </w:rPr>
        <w:t>of the mRNA, i.e., the mRNA is translated for a longer period of time before it is degraded, which results in sustained protein production after mRNA delivery, or for (ii) increasing the mRNA translation efficiency, i.e., the peak protein production is increased. Our optimization approach relies on combining both strategies in order to maximize the mRNA therapeutic effect.</w:t>
      </w:r>
    </w:p>
    <w:p>
      <w:pPr>
        <w:spacing w:after="0" w:line="1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240" w:top="459" w:right="5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hanging="544"/>
        <w:spacing w:after="0"/>
        <w:tabs>
          <w:tab w:leader="none" w:pos="11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Our mRNA Backbone Concepts and Technologies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Our mRNAs all contain basic structural elements, including the 5’ cap, the untranslated regions and the poly(A) tail, in addition to a coding sequence, that are all encoded by our DNA template.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80" w:hanging="436"/>
        <w:spacing w:after="0" w:line="264"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cap is added to the 5’ end of the mRNA during its synthesis. Our studies have demonstrated that incorporation of a unique cap analogue into the mRNA helps to achieve superior translational performance by stabilizing the mRNA molecule and directing the immune response. This unique cap analogue is extremely useful for our immunotherapy approaches.</w:t>
      </w:r>
    </w:p>
    <w:p>
      <w:pPr>
        <w:spacing w:after="0" w:line="86"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composition and structure of the 5’ and 3’ untranslated regions of the mRNA molecule are important determinants of the intracellular stability of mRNA. As a result of rigorous screening of different mRNA sequences, we identified specific UTRs that promote increased protein translation for long duration.</w:t>
      </w:r>
    </w:p>
    <w:p>
      <w:pPr>
        <w:spacing w:after="0" w:line="86"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have performed extensive research on the structure of the poly(A) tail and the translational performance of mRNA and customized our template design accordingly.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60"/>
          </w:cols>
          <w:pgMar w:left="24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translational performance of mRNA can be increased by removing contaminating double-stranded RNA from the mRNA. We have extensive expertise in different mRNA purification procedures. We have also invented a novel mRNA purification method that greatly impacts translatability of our mRNA. Depending on the protein characteristics needed for treatment of a disease, we optimize the DNA template through a proprietary codon optimization process, changing the nucleotide sequence of the template without altering the amino acid composition of the encoded protein. We make further adjustments during mRNA production. We believe these fine tunings of the respective molecules are essential for the purpose-adapted performance of our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148590</wp:posOffset>
            </wp:positionV>
            <wp:extent cx="4939665" cy="40474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39665" cy="404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right="360"/>
        <w:spacing w:after="0" w:line="259" w:lineRule="auto"/>
        <w:rPr>
          <w:sz w:val="20"/>
          <w:szCs w:val="20"/>
          <w:color w:val="auto"/>
        </w:rPr>
      </w:pPr>
      <w:r>
        <w:rPr>
          <w:rFonts w:ascii="Arial" w:cs="Arial" w:eastAsia="Arial" w:hAnsi="Arial"/>
          <w:sz w:val="14"/>
          <w:szCs w:val="14"/>
          <w:b w:val="1"/>
          <w:bCs w:val="1"/>
          <w:color w:val="auto"/>
        </w:rPr>
        <w:t xml:space="preserve">Our mRNA formats. </w:t>
      </w:r>
      <w:r>
        <w:rPr>
          <w:rFonts w:ascii="Arial" w:cs="Arial" w:eastAsia="Arial" w:hAnsi="Arial"/>
          <w:sz w:val="14"/>
          <w:szCs w:val="14"/>
          <w:color w:val="auto"/>
        </w:rPr>
        <w:t>As shown above, we have developed four mRNA formats, each optimized for different therapeutic applications. Abbreviations: y, 1-methylpseudouridine; UTR,</w:t>
      </w:r>
      <w:r>
        <w:rPr>
          <w:rFonts w:ascii="Arial" w:cs="Arial" w:eastAsia="Arial" w:hAnsi="Arial"/>
          <w:sz w:val="14"/>
          <w:szCs w:val="14"/>
          <w:b w:val="1"/>
          <w:bCs w:val="1"/>
          <w:color w:val="auto"/>
        </w:rPr>
        <w:t xml:space="preserve"> </w:t>
      </w:r>
      <w:r>
        <w:rPr>
          <w:rFonts w:ascii="Arial" w:cs="Arial" w:eastAsia="Arial" w:hAnsi="Arial"/>
          <w:sz w:val="14"/>
          <w:szCs w:val="14"/>
          <w:color w:val="auto"/>
        </w:rPr>
        <w:t>untranslated region.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mRNA formats include:</w:t>
      </w:r>
    </w:p>
    <w:p>
      <w:pPr>
        <w:spacing w:after="0" w:line="131" w:lineRule="exact"/>
        <w:rPr>
          <w:sz w:val="20"/>
          <w:szCs w:val="20"/>
          <w:color w:val="auto"/>
        </w:rPr>
      </w:pPr>
    </w:p>
    <w:p>
      <w:pPr>
        <w:ind w:left="1620" w:hanging="430"/>
        <w:spacing w:after="0"/>
        <w:tabs>
          <w:tab w:leader="none" w:pos="1620" w:val="left"/>
        </w:tabs>
        <w:numPr>
          <w:ilvl w:val="0"/>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Optimized Uridine mRNA (uRNA)</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nucleotide sequence of mRNA determines the amino acid sequence of the protein. In addition, the nature of nucleosides used for production of mRNA drugs can also influence recognition of the molecule by the immune system. Presence of naturally occurring uridine (U) in our optimized uridine mRNA makes it immunogenic by activating immune sensors. We have further optimized our uridine mRNA for immunogenicity (augmented antigen presentation on MHC I and MHC II) and pharmacological activity (enhanced stability and translational efficiency). Immunogenicity of the mRNA is an added benefit when mRNA is used for immunotherapy applications, by acting as an immunotherapy adjuvant. This makes our therapeutics for iNeST and FixVac even more potent.</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240" w:top="460"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Nucleoside-modified mRNA (modRNA)</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Immunogenic reaction against mRNA drugs needs to be avoided in applications where therapeutic proteins are produced, such as in our RiboMab and RiboCytokine platforms. We have profound expertise in incorporating naturally-occurring modified nucleosides into our therapeutic mRNAs. We have demonstrated that the presence of a variety of modified nucleosides in the manufactured mRNA suppresses its intrinsic immune activation, while leading to superior protein production for long duration. Deimmunizing mRNA by incorporating modified nucleosides helps to avoid production of anti-drug antibodies and broaden the therapeutic application of these types of mRNA drugs. We believe this customization has resulted in therapeutic mRNA that is both potent and well tolerated.</w:t>
      </w:r>
    </w:p>
    <w:p>
      <w:pPr>
        <w:spacing w:after="0" w:line="342" w:lineRule="exact"/>
        <w:rPr>
          <w:sz w:val="20"/>
          <w:szCs w:val="20"/>
          <w:color w:val="auto"/>
        </w:rPr>
      </w:pPr>
    </w:p>
    <w:p>
      <w:pPr>
        <w:ind w:left="1620" w:hanging="430"/>
        <w:spacing w:after="0"/>
        <w:tabs>
          <w:tab w:leader="none" w:pos="1620" w:val="left"/>
        </w:tabs>
        <w:numPr>
          <w:ilvl w:val="0"/>
          <w:numId w:val="1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Self-amplifying mRNA (saRNA)</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self-amplifying mRNA, or saRNA, drugs use the concept of viral replication, while not being an infectious, disease-causing agent itself. saRNA resembles conventional mRNA encoding the protein of interest, but also encoding a polymerase, called replicase, that multiplies part of the mRNA within the target cell. During self-amplification inside the cell, a double-stranded RNA intermediate is generated, which is recognized by intracellular immune sensors. This makes saRNA a very potent activator of the immune system and therefore an excellent category of immunotherapy. As we have demonstrated, our saRNA ensures high levels of sustained antigen production with a small amount of initial mRNA input. Our scientific team has designed this mRNA technology to act as a potent tool for prophylactic vaccination, with the potential application in infectious diseases with high medical needs.</w:t>
      </w:r>
    </w:p>
    <w:p>
      <w:pPr>
        <w:spacing w:after="0" w:line="338" w:lineRule="exact"/>
        <w:rPr>
          <w:sz w:val="20"/>
          <w:szCs w:val="20"/>
          <w:color w:val="auto"/>
        </w:rPr>
      </w:pPr>
    </w:p>
    <w:p>
      <w:pPr>
        <w:ind w:left="1620" w:hanging="430"/>
        <w:spacing w:after="0"/>
        <w:tabs>
          <w:tab w:leader="none" w:pos="162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Trans-amplifying mRNA (taRNA)</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have also expanded on our self-amplifying mRNA capabilities, developing a novel mRNA amplification technology by separating the target mRNA to be amplified and the replicase encoding mRNA. This advancement broadens the spectrum of applications by making the development of therapeutic mRNAs even more flexible, as the replicase can amplify mRNA encoding of not only one protein, but several different ones. In the case of vaccines, this allows us to produce the replicase in advance for use with different vaccines. Our trans-amplifying mRNA is a proprietary mRNA format that is particularly well-suited for prophylactic vaccines to prevent infectious diseases.</w:t>
      </w:r>
    </w:p>
    <w:p>
      <w:pPr>
        <w:spacing w:after="0" w:line="317" w:lineRule="exact"/>
        <w:rPr>
          <w:sz w:val="20"/>
          <w:szCs w:val="20"/>
          <w:color w:val="auto"/>
        </w:rPr>
      </w:pPr>
    </w:p>
    <w:p>
      <w:pPr>
        <w:ind w:left="1180" w:hanging="544"/>
        <w:spacing w:after="0"/>
        <w:tabs>
          <w:tab w:leader="none" w:pos="11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Our mRNA Delivery Formulation Technologies</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have deep and broad expertise in the targeted delivery of mRNA therapeutics. We are convinced that our development of suitable delivery formulations in conjunction with our own therapeutic mRNAs is a key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134620</wp:posOffset>
            </wp:positionV>
            <wp:extent cx="5076825" cy="17411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7682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mRNA delivery formulation technologies</w:t>
      </w:r>
      <w:r>
        <w:rPr>
          <w:rFonts w:ascii="Arial" w:cs="Arial" w:eastAsia="Arial" w:hAnsi="Arial"/>
          <w:sz w:val="14"/>
          <w:szCs w:val="14"/>
          <w:color w:val="auto"/>
        </w:rPr>
        <w:t>. We utilize a range of mRNA delivery formulations for different therapeutic needs.</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employ multiple mRNA delivery formulations, each designed for different functions and optimized for therapeutic product needs:</w:t>
      </w:r>
    </w:p>
    <w:p>
      <w:pPr>
        <w:spacing w:after="0" w:line="127" w:lineRule="exact"/>
        <w:rPr>
          <w:sz w:val="20"/>
          <w:szCs w:val="20"/>
          <w:color w:val="auto"/>
        </w:rPr>
      </w:pPr>
    </w:p>
    <w:p>
      <w:pPr>
        <w:ind w:left="640" w:right="120" w:hanging="328"/>
        <w:spacing w:after="0" w:line="266" w:lineRule="auto"/>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Lipoplex: </w:t>
      </w:r>
      <w:r>
        <w:rPr>
          <w:rFonts w:ascii="Arial" w:cs="Arial" w:eastAsia="Arial" w:hAnsi="Arial"/>
          <w:sz w:val="18"/>
          <w:szCs w:val="18"/>
          <w:color w:val="auto"/>
        </w:rPr>
        <w:t>Our lipoplex formulation, or LPX, embeds the mRNA between a lipid bilayer, which is used for our FixVac and iNeST platforms. We</w:t>
      </w:r>
      <w:r>
        <w:rPr>
          <w:rFonts w:ascii="Arial" w:cs="Arial" w:eastAsia="Arial" w:hAnsi="Arial"/>
          <w:sz w:val="18"/>
          <w:szCs w:val="18"/>
          <w:b w:val="1"/>
          <w:bCs w:val="1"/>
          <w:color w:val="auto"/>
        </w:rPr>
        <w:t xml:space="preserve"> </w:t>
      </w:r>
      <w:r>
        <w:rPr>
          <w:rFonts w:ascii="Arial" w:cs="Arial" w:eastAsia="Arial" w:hAnsi="Arial"/>
          <w:sz w:val="18"/>
          <w:szCs w:val="18"/>
          <w:color w:val="auto"/>
        </w:rPr>
        <w:t>use a proprietary size- and charge-based non-viral mRNA lipoplex that was developed to deliver mRNA to dendritic cells in lymphoid compartments such as the spleen for optimal antigen presentation and immune response activation.</w:t>
      </w:r>
    </w:p>
    <w:p>
      <w:pPr>
        <w:spacing w:after="0" w:line="81" w:lineRule="exact"/>
        <w:rPr>
          <w:rFonts w:ascii="Arial" w:cs="Arial" w:eastAsia="Arial" w:hAnsi="Arial"/>
          <w:sz w:val="18"/>
          <w:szCs w:val="18"/>
          <w:color w:val="auto"/>
        </w:rPr>
      </w:pPr>
    </w:p>
    <w:p>
      <w:pPr>
        <w:jc w:val="both"/>
        <w:ind w:left="640" w:right="480" w:hanging="328"/>
        <w:spacing w:after="0" w:line="289" w:lineRule="auto"/>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 xml:space="preserve">LNPs: </w:t>
      </w:r>
      <w:r>
        <w:rPr>
          <w:rFonts w:ascii="Arial" w:cs="Arial" w:eastAsia="Arial" w:hAnsi="Arial"/>
          <w:sz w:val="17"/>
          <w:szCs w:val="17"/>
          <w:color w:val="auto"/>
        </w:rPr>
        <w:t>For other applications, we encapsulate our mRNA in lipid nanoparticles, or LNPs. These formulations are suitable for our RiboMab,</w:t>
      </w:r>
      <w:r>
        <w:rPr>
          <w:rFonts w:ascii="Arial" w:cs="Arial" w:eastAsia="Arial" w:hAnsi="Arial"/>
          <w:sz w:val="17"/>
          <w:szCs w:val="17"/>
          <w:b w:val="1"/>
          <w:bCs w:val="1"/>
          <w:color w:val="auto"/>
        </w:rPr>
        <w:t xml:space="preserve"> </w:t>
      </w:r>
      <w:r>
        <w:rPr>
          <w:rFonts w:ascii="Arial" w:cs="Arial" w:eastAsia="Arial" w:hAnsi="Arial"/>
          <w:sz w:val="17"/>
          <w:szCs w:val="17"/>
          <w:color w:val="auto"/>
        </w:rPr>
        <w:t>RiboCytokine and rare disease protein replacement platforms. Our LNP formulations can be adjusted according to our needs for delivery to particular target tissues, such as the liver in the case of our rare disease protein replacement platform.</w:t>
      </w:r>
    </w:p>
    <w:p>
      <w:pPr>
        <w:spacing w:after="0" w:line="63" w:lineRule="exact"/>
        <w:rPr>
          <w:rFonts w:ascii="Arial" w:cs="Arial" w:eastAsia="Arial" w:hAnsi="Arial"/>
          <w:sz w:val="17"/>
          <w:szCs w:val="17"/>
          <w:color w:val="auto"/>
        </w:rPr>
      </w:pPr>
    </w:p>
    <w:p>
      <w:pPr>
        <w:ind w:left="640" w:right="40" w:hanging="328"/>
        <w:spacing w:after="0" w:line="282" w:lineRule="auto"/>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Polyplexes: </w:t>
      </w:r>
      <w:r>
        <w:rPr>
          <w:rFonts w:ascii="Arial" w:cs="Arial" w:eastAsia="Arial" w:hAnsi="Arial"/>
          <w:sz w:val="18"/>
          <w:szCs w:val="18"/>
          <w:color w:val="auto"/>
        </w:rPr>
        <w:t>Our portfolio also comprises polyplexes, which are being utilized in certain of our discovery programs, in which the mRNA is bound</w:t>
      </w:r>
      <w:r>
        <w:rPr>
          <w:rFonts w:ascii="Arial" w:cs="Arial" w:eastAsia="Arial" w:hAnsi="Arial"/>
          <w:sz w:val="18"/>
          <w:szCs w:val="18"/>
          <w:b w:val="1"/>
          <w:bCs w:val="1"/>
          <w:color w:val="auto"/>
        </w:rPr>
        <w:t xml:space="preserve"> </w:t>
      </w:r>
      <w:r>
        <w:rPr>
          <w:rFonts w:ascii="Arial" w:cs="Arial" w:eastAsia="Arial" w:hAnsi="Arial"/>
          <w:sz w:val="18"/>
          <w:szCs w:val="18"/>
          <w:color w:val="auto"/>
        </w:rPr>
        <w:t>to a polymer and then forms nanoparticles.</w:t>
      </w:r>
    </w:p>
    <w:p>
      <w:pPr>
        <w:spacing w:after="0" w:line="166"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shown in the graphic below, our mRNA platforms utilize our wide range of mRNA formats, mRNA delivery formulations and mRNA delivery routes to optimize and tailor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05730" cy="3198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0573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right="280"/>
        <w:spacing w:after="0" w:line="259" w:lineRule="auto"/>
        <w:rPr>
          <w:sz w:val="20"/>
          <w:szCs w:val="20"/>
          <w:color w:val="auto"/>
        </w:rPr>
      </w:pPr>
      <w:r>
        <w:rPr>
          <w:rFonts w:ascii="Arial" w:cs="Arial" w:eastAsia="Arial" w:hAnsi="Arial"/>
          <w:sz w:val="14"/>
          <w:szCs w:val="14"/>
          <w:b w:val="1"/>
          <w:bCs w:val="1"/>
          <w:color w:val="auto"/>
        </w:rPr>
        <w:t xml:space="preserve">Our therapeutic mRNA technology toolbox. </w:t>
      </w:r>
      <w:r>
        <w:rPr>
          <w:rFonts w:ascii="Arial" w:cs="Arial" w:eastAsia="Arial" w:hAnsi="Arial"/>
          <w:sz w:val="14"/>
          <w:szCs w:val="14"/>
          <w:color w:val="auto"/>
        </w:rPr>
        <w:t>Our product candidates utilize multiple mRNA formats, a broad spectrum of delivery formulations and applications using various delivery</w:t>
      </w:r>
      <w:r>
        <w:rPr>
          <w:rFonts w:ascii="Arial" w:cs="Arial" w:eastAsia="Arial" w:hAnsi="Arial"/>
          <w:sz w:val="14"/>
          <w:szCs w:val="14"/>
          <w:b w:val="1"/>
          <w:bCs w:val="1"/>
          <w:color w:val="auto"/>
        </w:rPr>
        <w:t xml:space="preserve"> </w:t>
      </w:r>
      <w:r>
        <w:rPr>
          <w:rFonts w:ascii="Arial" w:cs="Arial" w:eastAsia="Arial" w:hAnsi="Arial"/>
          <w:sz w:val="14"/>
          <w:szCs w:val="14"/>
          <w:color w:val="auto"/>
        </w:rPr>
        <w:t>routes.</w:t>
      </w:r>
    </w:p>
    <w:p>
      <w:pPr>
        <w:spacing w:after="0" w:line="197" w:lineRule="exact"/>
        <w:rPr>
          <w:sz w:val="20"/>
          <w:szCs w:val="20"/>
          <w:color w:val="auto"/>
        </w:rPr>
      </w:pPr>
    </w:p>
    <w:p>
      <w:pPr>
        <w:ind w:left="1180" w:hanging="544"/>
        <w:spacing w:after="0"/>
        <w:tabs>
          <w:tab w:leader="none" w:pos="11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Our mRNA Platforms</w:t>
      </w:r>
    </w:p>
    <w:p>
      <w:pPr>
        <w:spacing w:after="0" w:line="229"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are developing multiple mRNA-based therapeutic platforms. These include FixVac, iNeST, mRNA-based intratumoral immunotherapy, RiboMabs and RiboCytokines in the oncology space. In addition, we have implemented mRNA platforms for the development of infectious disease vaccines and protein replacement therapies for rare diseases.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Importantly, each of these platforms enables the development of multiple pharmaceutical product candidates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169545</wp:posOffset>
            </wp:positionV>
            <wp:extent cx="4836795" cy="24009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3679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360"/>
        <w:spacing w:after="0" w:line="259" w:lineRule="auto"/>
        <w:rPr>
          <w:sz w:val="20"/>
          <w:szCs w:val="20"/>
          <w:color w:val="auto"/>
        </w:rPr>
      </w:pPr>
      <w:r>
        <w:rPr>
          <w:rFonts w:ascii="Arial" w:cs="Arial" w:eastAsia="Arial" w:hAnsi="Arial"/>
          <w:sz w:val="14"/>
          <w:szCs w:val="14"/>
          <w:b w:val="1"/>
          <w:bCs w:val="1"/>
          <w:color w:val="auto"/>
        </w:rPr>
        <w:t xml:space="preserve">Our mRNA Platforms. </w:t>
      </w:r>
      <w:r>
        <w:rPr>
          <w:rFonts w:ascii="Arial" w:cs="Arial" w:eastAsia="Arial" w:hAnsi="Arial"/>
          <w:sz w:val="14"/>
          <w:szCs w:val="14"/>
          <w:color w:val="auto"/>
        </w:rPr>
        <w:t>We have multiple mRNA-based platforms utilizing different mRNA formats and delivery formulations, directed at a range of biological targets in oncology and</w:t>
      </w:r>
      <w:r>
        <w:rPr>
          <w:rFonts w:ascii="Arial" w:cs="Arial" w:eastAsia="Arial" w:hAnsi="Arial"/>
          <w:sz w:val="14"/>
          <w:szCs w:val="14"/>
          <w:b w:val="1"/>
          <w:bCs w:val="1"/>
          <w:color w:val="auto"/>
        </w:rPr>
        <w:t xml:space="preserve"> </w:t>
      </w:r>
      <w:r>
        <w:rPr>
          <w:rFonts w:ascii="Arial" w:cs="Arial" w:eastAsia="Arial" w:hAnsi="Arial"/>
          <w:sz w:val="14"/>
          <w:szCs w:val="14"/>
          <w:color w:val="auto"/>
        </w:rPr>
        <w:t>infectious and rare diseases.</w:t>
      </w:r>
    </w:p>
    <w:p>
      <w:pPr>
        <w:spacing w:after="0" w:line="201" w:lineRule="exact"/>
        <w:rPr>
          <w:sz w:val="20"/>
          <w:szCs w:val="20"/>
          <w:color w:val="auto"/>
        </w:rPr>
      </w:pPr>
    </w:p>
    <w:p>
      <w:pPr>
        <w:ind w:left="1620" w:hanging="430"/>
        <w:spacing w:after="0"/>
        <w:tabs>
          <w:tab w:leader="none" w:pos="1620" w:val="left"/>
        </w:tabs>
        <w:numPr>
          <w:ilvl w:val="0"/>
          <w:numId w:val="1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Cancer Immunotherapies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goal is to develop safe, potent, efficacious and cost-effective cancer immunotherapies which stimulate and potently expand tumor cell specific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cells in cancer patients. Our cancer immunotherapy development integrates our competencies in mRNA backbone optimization, formulation development and immunological research.</w:t>
      </w:r>
    </w:p>
    <w:p>
      <w:pPr>
        <w:spacing w:after="0" w:line="18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have developed novel immunotherapy approaches to replicate the highly potent and effective natural activation of the immune system in response to a viral infection. Our first generation mRNA cancer immunotherapies were delivered as naked mRNA by ultrasound guided injection into a patient’s lymph node and induced T cell responses and antitumoral activity when targeting mutant neoantigens in advanced melanoma patients. To further improve this potency and antigen specificity we have developed a nano-particulate mRNA lipoplex immunotherapy for intravenous delivery.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RNA-LPX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20497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2049780"/>
                    </a:xfrm>
                    <a:prstGeom prst="rect">
                      <a:avLst/>
                    </a:prstGeom>
                    <a:noFill/>
                  </pic:spPr>
                </pic:pic>
              </a:graphicData>
            </a:graphic>
          </wp:anchor>
        </w:drawing>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RNA-LPX Cancer Immunotherapy Technology</w:t>
      </w:r>
    </w:p>
    <w:p>
      <w:pPr>
        <w:spacing w:after="0" w:line="131" w:lineRule="exact"/>
        <w:rPr>
          <w:sz w:val="20"/>
          <w:szCs w:val="20"/>
          <w:color w:val="auto"/>
        </w:rPr>
      </w:pPr>
    </w:p>
    <w:p>
      <w:pPr>
        <w:ind w:left="740" w:hanging="320"/>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Potential first-in-class clinical intravenous nano-particulate mRNA immunotherapy, allowing systemic delivery.</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Strong potency by systemic targeting to dendritic cells in lymphoid tissues.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Universally applicable for all cancer antigens.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Opportunity to deliver multiple antigens in parallel, enabling the induction of poly-specific T cell responses.</w:t>
      </w:r>
    </w:p>
    <w:p>
      <w:pPr>
        <w:spacing w:after="0" w:line="130" w:lineRule="exact"/>
        <w:rPr>
          <w:rFonts w:ascii="Arial" w:cs="Arial" w:eastAsia="Arial" w:hAnsi="Arial"/>
          <w:sz w:val="18"/>
          <w:szCs w:val="18"/>
          <w:color w:val="auto"/>
        </w:rPr>
      </w:pPr>
    </w:p>
    <w:p>
      <w:pPr>
        <w:ind w:left="740" w:right="540" w:hanging="320"/>
        <w:spacing w:after="0" w:line="277" w:lineRule="auto"/>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Synchronized adjuvant effect mediated by toll-like receptor 7 (TLR7)-triggering and type-I interferon-driven innate and adaptive immune stimulation.</w:t>
      </w:r>
    </w:p>
    <w:p>
      <w:pPr>
        <w:spacing w:after="0" w:line="75" w:lineRule="exact"/>
        <w:rPr>
          <w:rFonts w:ascii="Arial" w:cs="Arial" w:eastAsia="Arial" w:hAnsi="Arial"/>
          <w:sz w:val="18"/>
          <w:szCs w:val="18"/>
          <w:color w:val="auto"/>
        </w:rPr>
      </w:pPr>
    </w:p>
    <w:p>
      <w:pPr>
        <w:ind w:left="740" w:hanging="320"/>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Preclinical anti-tumoral activity demonstrated against multiple tumors.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Unprecedented clinical immune responses against shared TAAs.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Beneficial clinical activity demonstrated in advanced melanoma patients.</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To advance from local to systemic dendritic cell, or DC, targeting, we developed an innovative liposome-based RNA-lipoplex formulation, RNA-LPX, that allows for intravenous administration of our mRNA cancer immunotherapies. We have demonstrated in the clinic that systemic DC targeting by mRNA cancer immunotherapies can result in potent activity at very low doses. Consequently, less material is required for treating high patient numbers, making manufacturing more cost-effective.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144780</wp:posOffset>
            </wp:positionV>
            <wp:extent cx="5196840" cy="3387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96840"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Our RNA-LPX technology. </w:t>
      </w:r>
      <w:r>
        <w:rPr>
          <w:rFonts w:ascii="Arial" w:cs="Arial" w:eastAsia="Arial" w:hAnsi="Arial"/>
          <w:sz w:val="14"/>
          <w:szCs w:val="14"/>
          <w:color w:val="auto"/>
        </w:rPr>
        <w:t>Our proprietary RNA-LPX formulation is designed to deliver vaccine mRNA precisely into DCs and macrophages in the spleen and other lymphoid</w:t>
      </w:r>
      <w:r>
        <w:rPr>
          <w:rFonts w:ascii="Arial" w:cs="Arial" w:eastAsia="Arial" w:hAnsi="Arial"/>
          <w:sz w:val="14"/>
          <w:szCs w:val="14"/>
          <w:b w:val="1"/>
          <w:bCs w:val="1"/>
          <w:color w:val="auto"/>
        </w:rPr>
        <w:t xml:space="preserve"> </w:t>
      </w:r>
      <w:r>
        <w:rPr>
          <w:rFonts w:ascii="Arial" w:cs="Arial" w:eastAsia="Arial" w:hAnsi="Arial"/>
          <w:sz w:val="14"/>
          <w:szCs w:val="14"/>
          <w:color w:val="auto"/>
        </w:rPr>
        <w:t>compartments. The RNA-LPX has an inherent adjuvant function stimulating the release of cytokines such as IFN-α thereby promoting the activation of DCs and the induction of strong T cell responses. Abbreviations: BM, bone marrow; LN, lymph node; DC, dendritic cell; pDC, plasmacytoid dendritic cell; Mø, macrophage; IFN-α, interferon alpha.</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RNA-LPX protects mRNA from degradation outside of the cell and mediates its efficient uptake and expression of encoded antigens in various dendritic cell populations.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RNA-LPX technology is designed to target a wide variety of antigens and address cancer patients with all possible HLA haplotypes. Utilizing RNA-LPX, we can target fixed groups of known shared antigens with our FixVac platform and a whole new class of patient-specific neoantigen targets with our iNeST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218440</wp:posOffset>
            </wp:positionV>
            <wp:extent cx="5205730" cy="42710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05730" cy="427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80" w:hanging="545"/>
        <w:spacing w:after="0"/>
        <w:tabs>
          <w:tab w:leader="none" w:pos="2180" w:val="left"/>
        </w:tabs>
        <w:numPr>
          <w:ilvl w:val="0"/>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7583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1758315"/>
                    </a:xfrm>
                    <a:prstGeom prst="rect">
                      <a:avLst/>
                    </a:prstGeom>
                    <a:noFill/>
                  </pic:spPr>
                </pic:pic>
              </a:graphicData>
            </a:graphic>
          </wp:anchor>
        </w:drawing>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FixVac Platform</w:t>
      </w:r>
    </w:p>
    <w:p>
      <w:pPr>
        <w:spacing w:after="0" w:line="127" w:lineRule="exact"/>
        <w:rPr>
          <w:sz w:val="20"/>
          <w:szCs w:val="20"/>
          <w:color w:val="auto"/>
        </w:rPr>
      </w:pPr>
    </w:p>
    <w:p>
      <w:pPr>
        <w:ind w:left="740" w:right="220" w:hanging="320"/>
        <w:spacing w:after="0" w:line="282" w:lineRule="auto"/>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Cancer immunotherapies targeting shared antigens that we have identified to be frequently expressed across patients with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cancer type.</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uridine mRNA providing superior immunogenicity.</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BNT111 for metastatic melanoma.</w:t>
      </w:r>
    </w:p>
    <w:p>
      <w:pPr>
        <w:spacing w:after="0" w:line="130" w:lineRule="exact"/>
        <w:rPr>
          <w:rFonts w:ascii="Arial" w:cs="Arial" w:eastAsia="Arial" w:hAnsi="Arial"/>
          <w:sz w:val="18"/>
          <w:szCs w:val="18"/>
          <w:color w:val="auto"/>
        </w:rPr>
      </w:pPr>
    </w:p>
    <w:p>
      <w:pPr>
        <w:ind w:left="740" w:right="520" w:hanging="320"/>
        <w:spacing w:after="0" w:line="282" w:lineRule="auto"/>
        <w:tabs>
          <w:tab w:leader="none" w:pos="740"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Four partial responses and seven stable diseases in 25 patients with metastatic lesions at enrollment, following BNT111</w:t>
      </w:r>
      <w:r>
        <w:rPr>
          <w:rFonts w:ascii="Arial" w:cs="Arial" w:eastAsia="Arial" w:hAnsi="Arial"/>
          <w:sz w:val="18"/>
          <w:szCs w:val="18"/>
          <w:b w:val="1"/>
          <w:bCs w:val="1"/>
          <w:color w:val="auto"/>
        </w:rPr>
        <w:t xml:space="preserve"> </w:t>
      </w:r>
      <w:r>
        <w:rPr>
          <w:rFonts w:ascii="Arial" w:cs="Arial" w:eastAsia="Arial" w:hAnsi="Arial"/>
          <w:sz w:val="18"/>
          <w:szCs w:val="18"/>
          <w:color w:val="auto"/>
        </w:rPr>
        <w:t>monotherapy.</w:t>
      </w:r>
    </w:p>
    <w:p>
      <w:pPr>
        <w:spacing w:after="0" w:line="1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80"/>
          </w:cols>
          <w:pgMar w:left="240" w:top="460"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Our FixVac approach involves off-the-shelf mRNA immunotherapies targeting cancer cell-specific shared tumor associated antigens for selected patient populations. Our FixVac product candidates target TAAs which are commonly expressed by a significant portion of patients in a given cancer type. We have developed a sophisticated target selection process which enables us to produce poly-specific FixVac immunotherapies that cover up to 95% of patients with a given cancer type. The use of off-the-shelf FixVac immunotherapies allows for large-batch manufacturing and prompt supply to patients with ready-to-use medication, ensuring a straight-forward cost- and time-efficient manufacturing process with favorable logistics.</w:t>
      </w:r>
    </w:p>
    <w:p>
      <w:pPr>
        <w:spacing w:after="0" w:line="158"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Besides targeting commonly expressed TAAs, our target selection strategy facilitates the identification of suitable viral oncoproteins for the treatment of virus-induced cancers like HPV+ head and neck cancer. Patient stratification, if needed, can easily be performed at the clinical site or a central lab using standard biotechnological methods, thereby reducing treatment costs. As the viral genome is comparatively small, encoding only for a few proteins, we believe our FixVac approach is ideally suited for the treatment of virus-induced cancers.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FixVac Development Plan</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currently have seven FixVac programs in development, with three in human trials: our ongoing Phase 1 trial in advanced melanoma, a Phase 1 trial in HPV+ head and neck cancer and a Phase 1 trial in triple negative breast cancer. We expect to progress our advanced melanoma program into Phase 2 clinical trials in the first half of 2020, and into Phase 3 in the second half of 2020. We expect to initiate a Phase 1 trial in prostate cancer in the second half of 2019. In addition, we are planning to initiate a Phase 2 study for FixVac in HPV+ cancers in the second half of 2020.</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26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Antigens</w:t>
            </w:r>
          </w:p>
        </w:tc>
        <w:tc>
          <w:tcPr>
            <w:tcW w:w="220" w:type="dxa"/>
            <w:vAlign w:val="bottom"/>
          </w:tcPr>
          <w:p>
            <w:pPr>
              <w:spacing w:after="0"/>
              <w:rPr>
                <w:sz w:val="16"/>
                <w:szCs w:val="16"/>
                <w:color w:val="auto"/>
              </w:rPr>
            </w:pPr>
          </w:p>
        </w:tc>
        <w:tc>
          <w:tcPr>
            <w:tcW w:w="26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2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BNT111</w:t>
            </w:r>
          </w:p>
        </w:tc>
        <w:tc>
          <w:tcPr>
            <w:tcW w:w="220" w:type="dxa"/>
            <w:vAlign w:val="bottom"/>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color w:val="auto"/>
              </w:rPr>
              <w:t>Melanoma-specific antigens:</w:t>
            </w:r>
          </w:p>
        </w:tc>
        <w:tc>
          <w:tcPr>
            <w:tcW w:w="220" w:type="dxa"/>
            <w:vAlign w:val="bottom"/>
          </w:tcPr>
          <w:p>
            <w:pPr>
              <w:spacing w:after="0"/>
              <w:rPr>
                <w:sz w:val="16"/>
                <w:szCs w:val="16"/>
                <w:color w:val="auto"/>
              </w:rPr>
            </w:pPr>
          </w:p>
        </w:tc>
        <w:tc>
          <w:tcPr>
            <w:tcW w:w="2640" w:type="dxa"/>
            <w:vAlign w:val="bottom"/>
          </w:tcPr>
          <w:p>
            <w:pPr>
              <w:spacing w:after="0" w:line="195" w:lineRule="exact"/>
              <w:rPr>
                <w:sz w:val="20"/>
                <w:szCs w:val="20"/>
                <w:color w:val="auto"/>
              </w:rPr>
            </w:pPr>
            <w:r>
              <w:rPr>
                <w:rFonts w:ascii="Arial" w:cs="Arial" w:eastAsia="Arial" w:hAnsi="Arial"/>
                <w:sz w:val="18"/>
                <w:szCs w:val="18"/>
                <w:color w:val="auto"/>
              </w:rPr>
              <w:t>Phase 1: Advanced melanoma</w:t>
            </w:r>
          </w:p>
        </w:tc>
        <w:tc>
          <w:tcPr>
            <w:tcW w:w="160" w:type="dxa"/>
            <w:vAlign w:val="bottom"/>
          </w:tcPr>
          <w:p>
            <w:pPr>
              <w:spacing w:after="0"/>
              <w:rPr>
                <w:sz w:val="16"/>
                <w:szCs w:val="16"/>
                <w:color w:val="auto"/>
              </w:rPr>
            </w:pPr>
          </w:p>
        </w:tc>
        <w:tc>
          <w:tcPr>
            <w:tcW w:w="1980" w:type="dxa"/>
            <w:vAlign w:val="bottom"/>
          </w:tcPr>
          <w:p>
            <w:pPr>
              <w:spacing w:after="0" w:line="195" w:lineRule="exact"/>
              <w:rPr>
                <w:sz w:val="20"/>
                <w:szCs w:val="20"/>
                <w:color w:val="auto"/>
              </w:rPr>
            </w:pPr>
            <w:r>
              <w:rPr>
                <w:rFonts w:ascii="Arial" w:cs="Arial" w:eastAsia="Arial" w:hAnsi="Arial"/>
                <w:sz w:val="18"/>
                <w:szCs w:val="18"/>
                <w:color w:val="auto"/>
                <w:w w:val="97"/>
              </w:rPr>
              <w:t>Report Phase 1 data and</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w w:val="97"/>
              </w:rPr>
              <w:t>NY-ESO-1, tyrosinase, MAGE-A3</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w w:val="96"/>
              </w:rPr>
              <w:t>initiate Phase 2 trial in 1H</w:t>
            </w: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and TPTE</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w w:val="94"/>
              </w:rPr>
              <w:t>2020; initiate Phase 3 trial</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in 2H 2020</w:t>
            </w:r>
          </w:p>
        </w:tc>
      </w:tr>
    </w:tbl>
    <w:p>
      <w:pPr>
        <w:spacing w:after="0" w:line="94" w:lineRule="exact"/>
        <w:rPr>
          <w:sz w:val="20"/>
          <w:szCs w:val="20"/>
          <w:color w:val="auto"/>
        </w:rPr>
      </w:pPr>
    </w:p>
    <w:p>
      <w:pPr>
        <w:sectPr>
          <w:pgSz w:w="11900" w:h="16838" w:orient="portrait"/>
          <w:cols w:equalWidth="0" w:num="1">
            <w:col w:w="11240"/>
          </w:cols>
          <w:pgMar w:left="240" w:top="460" w:right="419" w:bottom="1440" w:gutter="0" w:footer="0" w:header="0"/>
        </w:sectPr>
      </w:pPr>
    </w:p>
    <w:p>
      <w:pPr>
        <w:ind w:left="3600" w:right="1320" w:hanging="3399"/>
        <w:spacing w:after="0" w:line="258" w:lineRule="auto"/>
        <w:tabs>
          <w:tab w:leader="none" w:pos="3580" w:val="left"/>
        </w:tabs>
        <w:rPr>
          <w:sz w:val="20"/>
          <w:szCs w:val="20"/>
          <w:color w:val="auto"/>
        </w:rPr>
      </w:pPr>
      <w:r>
        <w:rPr>
          <w:rFonts w:ascii="Arial" w:cs="Arial" w:eastAsia="Arial" w:hAnsi="Arial"/>
          <w:sz w:val="18"/>
          <w:szCs w:val="18"/>
          <w:color w:val="auto"/>
        </w:rPr>
        <w:t>BNT112</w:t>
      </w:r>
      <w:r>
        <w:rPr>
          <w:sz w:val="20"/>
          <w:szCs w:val="20"/>
          <w:color w:val="auto"/>
        </w:rPr>
        <w:tab/>
      </w:r>
      <w:r>
        <w:rPr>
          <w:rFonts w:ascii="Arial" w:cs="Arial" w:eastAsia="Arial" w:hAnsi="Arial"/>
          <w:sz w:val="18"/>
          <w:szCs w:val="18"/>
          <w:color w:val="auto"/>
        </w:rPr>
        <w:t>Five prostate cancer-specific Preclinical antigens, including PAP and three</w:t>
      </w:r>
    </w:p>
    <w:p>
      <w:pPr>
        <w:spacing w:after="0" w:line="1" w:lineRule="exact"/>
        <w:rPr>
          <w:sz w:val="20"/>
          <w:szCs w:val="20"/>
          <w:color w:val="auto"/>
        </w:rPr>
      </w:pPr>
    </w:p>
    <w:p>
      <w:pPr>
        <w:jc w:val="center"/>
        <w:ind w:left="740"/>
        <w:spacing w:after="0"/>
        <w:rPr>
          <w:sz w:val="20"/>
          <w:szCs w:val="20"/>
          <w:color w:val="auto"/>
        </w:rPr>
      </w:pPr>
      <w:r>
        <w:rPr>
          <w:rFonts w:ascii="Arial" w:cs="Arial" w:eastAsia="Arial" w:hAnsi="Arial"/>
          <w:sz w:val="18"/>
          <w:szCs w:val="18"/>
          <w:color w:val="auto"/>
        </w:rPr>
        <w:t>internally identified antigens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Initiate Phase 1/2 trial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2H 2019</w:t>
      </w:r>
    </w:p>
    <w:p>
      <w:pPr>
        <w:spacing w:after="0" w:line="319" w:lineRule="exact"/>
        <w:rPr>
          <w:sz w:val="20"/>
          <w:szCs w:val="20"/>
          <w:color w:val="auto"/>
        </w:rPr>
      </w:pPr>
    </w:p>
    <w:p>
      <w:pPr>
        <w:sectPr>
          <w:pgSz w:w="11900" w:h="16838" w:orient="portrait"/>
          <w:cols w:equalWidth="0" w:num="2">
            <w:col w:w="8540" w:space="720"/>
            <w:col w:w="1980"/>
          </w:cols>
          <w:pgMar w:left="240" w:top="460" w:right="419" w:bottom="1440" w:gutter="0" w:footer="0" w:header="0"/>
          <w:type w:val="continuous"/>
        </w:sectPr>
      </w:pPr>
    </w:p>
    <w:tbl>
      <w:tblPr>
        <w:tblLayout w:type="fixed"/>
        <w:tblInd w:w="20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BNT113</w:t>
            </w:r>
          </w:p>
        </w:tc>
        <w:tc>
          <w:tcPr>
            <w:tcW w:w="2860" w:type="dxa"/>
            <w:vAlign w:val="bottom"/>
          </w:tcPr>
          <w:p>
            <w:pPr>
              <w:ind w:left="300"/>
              <w:spacing w:after="0"/>
              <w:rPr>
                <w:sz w:val="20"/>
                <w:szCs w:val="20"/>
                <w:color w:val="auto"/>
              </w:rPr>
            </w:pPr>
            <w:r>
              <w:rPr>
                <w:rFonts w:ascii="Arial" w:cs="Arial" w:eastAsia="Arial" w:hAnsi="Arial"/>
                <w:sz w:val="18"/>
                <w:szCs w:val="18"/>
                <w:color w:val="auto"/>
              </w:rPr>
              <w:t>HPV E6 and E7 oncoproteins</w:t>
            </w:r>
          </w:p>
        </w:tc>
        <w:tc>
          <w:tcPr>
            <w:tcW w:w="2780" w:type="dxa"/>
            <w:vAlign w:val="bottom"/>
          </w:tcPr>
          <w:p>
            <w:pPr>
              <w:ind w:left="300"/>
              <w:spacing w:after="0"/>
              <w:rPr>
                <w:sz w:val="20"/>
                <w:szCs w:val="20"/>
                <w:color w:val="auto"/>
              </w:rPr>
            </w:pPr>
            <w:r>
              <w:rPr>
                <w:rFonts w:ascii="Arial" w:cs="Arial" w:eastAsia="Arial" w:hAnsi="Arial"/>
                <w:sz w:val="18"/>
                <w:szCs w:val="18"/>
                <w:color w:val="auto"/>
                <w:w w:val="99"/>
              </w:rPr>
              <w:t>Phase 1: HPV+ head and neck</w:t>
            </w:r>
          </w:p>
        </w:tc>
        <w:tc>
          <w:tcPr>
            <w:tcW w:w="2200" w:type="dxa"/>
            <w:vAlign w:val="bottom"/>
          </w:tcPr>
          <w:p>
            <w:pPr>
              <w:ind w:left="320"/>
              <w:spacing w:after="0"/>
              <w:rPr>
                <w:sz w:val="20"/>
                <w:szCs w:val="20"/>
                <w:color w:val="auto"/>
              </w:rPr>
            </w:pPr>
            <w:r>
              <w:rPr>
                <w:rFonts w:ascii="Arial" w:cs="Arial" w:eastAsia="Arial" w:hAnsi="Arial"/>
                <w:sz w:val="18"/>
                <w:szCs w:val="18"/>
                <w:color w:val="auto"/>
                <w:w w:val="90"/>
              </w:rPr>
              <w:t>Initiate Phase 2 trial in 2H</w:t>
            </w:r>
          </w:p>
        </w:tc>
      </w:tr>
      <w:tr>
        <w:trPr>
          <w:trHeight w:val="230"/>
        </w:trPr>
        <w:tc>
          <w:tcPr>
            <w:tcW w:w="3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cancer (IST)</w:t>
            </w:r>
          </w:p>
        </w:tc>
        <w:tc>
          <w:tcPr>
            <w:tcW w:w="2200" w:type="dxa"/>
            <w:vAlign w:val="bottom"/>
          </w:tcPr>
          <w:p>
            <w:pPr>
              <w:ind w:left="320"/>
              <w:spacing w:after="0"/>
              <w:rPr>
                <w:sz w:val="20"/>
                <w:szCs w:val="20"/>
                <w:color w:val="auto"/>
              </w:rPr>
            </w:pPr>
            <w:r>
              <w:rPr>
                <w:rFonts w:ascii="Arial" w:cs="Arial" w:eastAsia="Arial" w:hAnsi="Arial"/>
                <w:sz w:val="18"/>
                <w:szCs w:val="18"/>
                <w:color w:val="auto"/>
              </w:rPr>
              <w:t>2020</w:t>
            </w: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BNT114</w:t>
            </w:r>
          </w:p>
        </w:tc>
        <w:tc>
          <w:tcPr>
            <w:tcW w:w="2860" w:type="dxa"/>
            <w:vAlign w:val="bottom"/>
          </w:tcPr>
          <w:p>
            <w:pPr>
              <w:ind w:left="300"/>
              <w:spacing w:after="0"/>
              <w:rPr>
                <w:sz w:val="20"/>
                <w:szCs w:val="20"/>
                <w:color w:val="auto"/>
              </w:rPr>
            </w:pPr>
            <w:r>
              <w:rPr>
                <w:rFonts w:ascii="Arial" w:cs="Arial" w:eastAsia="Arial" w:hAnsi="Arial"/>
                <w:sz w:val="18"/>
                <w:szCs w:val="18"/>
                <w:color w:val="auto"/>
              </w:rPr>
              <w:t>Selected breast cancer-specific</w:t>
            </w:r>
          </w:p>
        </w:tc>
        <w:tc>
          <w:tcPr>
            <w:tcW w:w="2780" w:type="dxa"/>
            <w:vAlign w:val="bottom"/>
          </w:tcPr>
          <w:p>
            <w:pPr>
              <w:ind w:left="300"/>
              <w:spacing w:after="0"/>
              <w:rPr>
                <w:sz w:val="20"/>
                <w:szCs w:val="20"/>
                <w:color w:val="auto"/>
              </w:rPr>
            </w:pPr>
            <w:r>
              <w:rPr>
                <w:rFonts w:ascii="Arial" w:cs="Arial" w:eastAsia="Arial" w:hAnsi="Arial"/>
                <w:sz w:val="18"/>
                <w:szCs w:val="18"/>
                <w:color w:val="auto"/>
              </w:rPr>
              <w:t>Phase 1: TNBC</w:t>
            </w:r>
          </w:p>
        </w:tc>
        <w:tc>
          <w:tcPr>
            <w:tcW w:w="2200" w:type="dxa"/>
            <w:vAlign w:val="bottom"/>
          </w:tcPr>
          <w:p>
            <w:pPr>
              <w:ind w:left="320"/>
              <w:spacing w:after="0"/>
              <w:rPr>
                <w:sz w:val="20"/>
                <w:szCs w:val="20"/>
                <w:color w:val="auto"/>
              </w:rPr>
            </w:pPr>
            <w:r>
              <w:rPr>
                <w:rFonts w:ascii="Arial" w:cs="Arial" w:eastAsia="Arial" w:hAnsi="Arial"/>
                <w:sz w:val="18"/>
                <w:szCs w:val="18"/>
                <w:color w:val="auto"/>
                <w:w w:val="92"/>
              </w:rPr>
              <w:t>Report data update in 1H</w:t>
            </w:r>
          </w:p>
        </w:tc>
      </w:tr>
      <w:tr>
        <w:trPr>
          <w:trHeight w:val="216"/>
        </w:trPr>
        <w:tc>
          <w:tcPr>
            <w:tcW w:w="3100" w:type="dxa"/>
            <w:vAlign w:val="bottom"/>
          </w:tcPr>
          <w:p>
            <w:pPr>
              <w:spacing w:after="0"/>
              <w:rPr>
                <w:sz w:val="18"/>
                <w:szCs w:val="18"/>
                <w:color w:val="auto"/>
              </w:rPr>
            </w:pPr>
          </w:p>
        </w:tc>
        <w:tc>
          <w:tcPr>
            <w:tcW w:w="2860" w:type="dxa"/>
            <w:vAlign w:val="bottom"/>
          </w:tcPr>
          <w:p>
            <w:pPr>
              <w:ind w:left="300"/>
              <w:spacing w:after="0"/>
              <w:rPr>
                <w:sz w:val="20"/>
                <w:szCs w:val="20"/>
                <w:color w:val="auto"/>
              </w:rPr>
            </w:pPr>
            <w:r>
              <w:rPr>
                <w:rFonts w:ascii="Arial" w:cs="Arial" w:eastAsia="Arial" w:hAnsi="Arial"/>
                <w:sz w:val="18"/>
                <w:szCs w:val="18"/>
                <w:color w:val="auto"/>
              </w:rPr>
              <w:t>antigens</w:t>
            </w:r>
          </w:p>
        </w:tc>
        <w:tc>
          <w:tcPr>
            <w:tcW w:w="2780" w:type="dxa"/>
            <w:vAlign w:val="bottom"/>
          </w:tcPr>
          <w:p>
            <w:pPr>
              <w:spacing w:after="0"/>
              <w:rPr>
                <w:sz w:val="18"/>
                <w:szCs w:val="18"/>
                <w:color w:val="auto"/>
              </w:rPr>
            </w:pPr>
          </w:p>
        </w:tc>
        <w:tc>
          <w:tcPr>
            <w:tcW w:w="2200" w:type="dxa"/>
            <w:vAlign w:val="bottom"/>
          </w:tcPr>
          <w:p>
            <w:pPr>
              <w:ind w:left="320"/>
              <w:spacing w:after="0"/>
              <w:rPr>
                <w:sz w:val="20"/>
                <w:szCs w:val="20"/>
                <w:color w:val="auto"/>
              </w:rPr>
            </w:pPr>
            <w:r>
              <w:rPr>
                <w:rFonts w:ascii="Arial" w:cs="Arial" w:eastAsia="Arial" w:hAnsi="Arial"/>
                <w:sz w:val="18"/>
                <w:szCs w:val="18"/>
                <w:color w:val="auto"/>
                <w:w w:val="92"/>
              </w:rPr>
              <w:t>2020 and assess antigen</w:t>
            </w:r>
          </w:p>
        </w:tc>
      </w:tr>
      <w:tr>
        <w:trPr>
          <w:trHeight w:val="230"/>
        </w:trPr>
        <w:tc>
          <w:tcPr>
            <w:tcW w:w="3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0" w:type="dxa"/>
            <w:vAlign w:val="bottom"/>
          </w:tcPr>
          <w:p>
            <w:pPr>
              <w:ind w:left="320"/>
              <w:spacing w:after="0"/>
              <w:rPr>
                <w:sz w:val="20"/>
                <w:szCs w:val="20"/>
                <w:color w:val="auto"/>
              </w:rPr>
            </w:pPr>
            <w:r>
              <w:rPr>
                <w:rFonts w:ascii="Arial" w:cs="Arial" w:eastAsia="Arial" w:hAnsi="Arial"/>
                <w:sz w:val="18"/>
                <w:szCs w:val="18"/>
                <w:color w:val="auto"/>
              </w:rPr>
              <w:t>immunogenicity</w:t>
            </w:r>
          </w:p>
        </w:tc>
      </w:tr>
      <w:tr>
        <w:trPr>
          <w:trHeight w:val="310"/>
        </w:trPr>
        <w:tc>
          <w:tcPr>
            <w:tcW w:w="3100" w:type="dxa"/>
            <w:vAlign w:val="bottom"/>
          </w:tcPr>
          <w:p>
            <w:pPr>
              <w:spacing w:after="0"/>
              <w:rPr>
                <w:sz w:val="20"/>
                <w:szCs w:val="20"/>
                <w:color w:val="auto"/>
              </w:rPr>
            </w:pPr>
            <w:r>
              <w:rPr>
                <w:rFonts w:ascii="Arial" w:cs="Arial" w:eastAsia="Arial" w:hAnsi="Arial"/>
                <w:sz w:val="18"/>
                <w:szCs w:val="18"/>
                <w:color w:val="auto"/>
              </w:rPr>
              <w:t>Multiple trials or ISTs; ovarian cancer,</w:t>
            </w:r>
          </w:p>
        </w:tc>
        <w:tc>
          <w:tcPr>
            <w:tcW w:w="2860" w:type="dxa"/>
            <w:vAlign w:val="bottom"/>
          </w:tcPr>
          <w:p>
            <w:pPr>
              <w:ind w:left="300"/>
              <w:spacing w:after="0"/>
              <w:rPr>
                <w:sz w:val="20"/>
                <w:szCs w:val="20"/>
                <w:color w:val="auto"/>
              </w:rPr>
            </w:pPr>
            <w:r>
              <w:rPr>
                <w:rFonts w:ascii="Arial" w:cs="Arial" w:eastAsia="Arial" w:hAnsi="Arial"/>
                <w:sz w:val="18"/>
                <w:szCs w:val="18"/>
                <w:color w:val="auto"/>
              </w:rPr>
              <w:t>Multiple</w:t>
            </w:r>
          </w:p>
        </w:tc>
        <w:tc>
          <w:tcPr>
            <w:tcW w:w="2780" w:type="dxa"/>
            <w:vAlign w:val="bottom"/>
          </w:tcPr>
          <w:p>
            <w:pPr>
              <w:ind w:left="300"/>
              <w:spacing w:after="0"/>
              <w:rPr>
                <w:sz w:val="20"/>
                <w:szCs w:val="20"/>
                <w:color w:val="auto"/>
              </w:rPr>
            </w:pPr>
            <w:r>
              <w:rPr>
                <w:rFonts w:ascii="Arial" w:cs="Arial" w:eastAsia="Arial" w:hAnsi="Arial"/>
                <w:sz w:val="18"/>
                <w:szCs w:val="18"/>
                <w:color w:val="auto"/>
              </w:rPr>
              <w:t>Preclinical</w:t>
            </w:r>
          </w:p>
        </w:tc>
        <w:tc>
          <w:tcPr>
            <w:tcW w:w="220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small cell lung cancer</w:t>
            </w:r>
          </w:p>
        </w:tc>
        <w:tc>
          <w:tcPr>
            <w:tcW w:w="2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65"/>
        </w:trPr>
        <w:tc>
          <w:tcPr>
            <w:tcW w:w="3100" w:type="dxa"/>
            <w:vAlign w:val="bottom"/>
          </w:tcPr>
          <w:p>
            <w:pPr>
              <w:spacing w:after="0"/>
              <w:rPr>
                <w:sz w:val="24"/>
                <w:szCs w:val="24"/>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157</w:t>
            </w:r>
          </w:p>
        </w:tc>
        <w:tc>
          <w:tcPr>
            <w:tcW w:w="278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180" w:hanging="545"/>
        <w:spacing w:after="0"/>
        <w:tabs>
          <w:tab w:leader="none" w:pos="218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Individualized Neoantigen Specific Immunotherapy (iNeST)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90170</wp:posOffset>
            </wp:positionV>
            <wp:extent cx="7002145" cy="1839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2145" cy="1839595"/>
                    </a:xfrm>
                    <a:prstGeom prst="rect">
                      <a:avLst/>
                    </a:prstGeom>
                    <a:noFill/>
                  </pic:spPr>
                </pic:pic>
              </a:graphicData>
            </a:graphic>
          </wp:anchor>
        </w:drawing>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iNeST Platform</w:t>
      </w:r>
    </w:p>
    <w:p>
      <w:pPr>
        <w:spacing w:after="0" w:line="127" w:lineRule="exact"/>
        <w:rPr>
          <w:sz w:val="20"/>
          <w:szCs w:val="20"/>
          <w:color w:val="auto"/>
        </w:rPr>
      </w:pPr>
    </w:p>
    <w:p>
      <w:pPr>
        <w:ind w:left="640" w:hanging="315"/>
        <w:spacing w:after="0"/>
        <w:tabs>
          <w:tab w:leader="none" w:pos="640"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 xml:space="preserve">Concept: </w:t>
      </w:r>
      <w:r>
        <w:rPr>
          <w:rFonts w:ascii="Arial" w:cs="Arial" w:eastAsia="Arial" w:hAnsi="Arial"/>
          <w:sz w:val="16"/>
          <w:szCs w:val="16"/>
          <w:color w:val="auto"/>
        </w:rPr>
        <w:t>Individualized cancer immunotherapy targeting neoantigens identified on a patient by patient basis and selected for immunogenicity.</w:t>
      </w:r>
    </w:p>
    <w:p>
      <w:pPr>
        <w:spacing w:after="0" w:line="153" w:lineRule="exact"/>
        <w:rPr>
          <w:rFonts w:ascii="Arial" w:cs="Arial" w:eastAsia="Arial" w:hAnsi="Arial"/>
          <w:sz w:val="16"/>
          <w:szCs w:val="16"/>
          <w:color w:val="auto"/>
        </w:rPr>
      </w:pPr>
    </w:p>
    <w:p>
      <w:pPr>
        <w:ind w:left="640" w:hanging="315"/>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Optimized uridine mRNA providing superior immunogenicity.</w:t>
      </w:r>
    </w:p>
    <w:p>
      <w:pPr>
        <w:spacing w:after="0" w:line="27" w:lineRule="exact"/>
        <w:rPr>
          <w:rFonts w:ascii="Arial" w:cs="Arial" w:eastAsia="Arial" w:hAnsi="Arial"/>
          <w:sz w:val="18"/>
          <w:szCs w:val="18"/>
          <w:color w:val="auto"/>
        </w:rPr>
      </w:pPr>
    </w:p>
    <w:p>
      <w:pPr>
        <w:ind w:left="640" w:hanging="315"/>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Proprietary size- and charge-based RNA-LPX targeting DCs.</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share with Genentech.</w:t>
      </w:r>
    </w:p>
    <w:p>
      <w:pPr>
        <w:spacing w:after="0" w:line="130" w:lineRule="exact"/>
        <w:rPr>
          <w:rFonts w:ascii="Arial" w:cs="Arial" w:eastAsia="Arial" w:hAnsi="Arial"/>
          <w:sz w:val="18"/>
          <w:szCs w:val="18"/>
          <w:color w:val="auto"/>
        </w:rPr>
      </w:pPr>
    </w:p>
    <w:p>
      <w:pPr>
        <w:ind w:left="640" w:hanging="315"/>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Lead Indication: </w:t>
      </w:r>
      <w:r>
        <w:rPr>
          <w:rFonts w:ascii="Arial" w:cs="Arial" w:eastAsia="Arial" w:hAnsi="Arial"/>
          <w:sz w:val="18"/>
          <w:szCs w:val="18"/>
          <w:color w:val="auto"/>
        </w:rPr>
        <w:t>RO7198457 (BNT122) as a first-line melanoma therapy in combination with pembrolizumab.</w:t>
      </w:r>
    </w:p>
    <w:p>
      <w:pPr>
        <w:spacing w:after="0" w:line="130" w:lineRule="exact"/>
        <w:rPr>
          <w:rFonts w:ascii="Arial" w:cs="Arial" w:eastAsia="Arial" w:hAnsi="Arial"/>
          <w:sz w:val="18"/>
          <w:szCs w:val="18"/>
          <w:color w:val="auto"/>
        </w:rPr>
      </w:pPr>
    </w:p>
    <w:p>
      <w:pPr>
        <w:ind w:left="640" w:right="20" w:hanging="315"/>
        <w:spacing w:after="0" w:line="261" w:lineRule="auto"/>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 xml:space="preserve">Data Highlights: </w:t>
      </w:r>
      <w:r>
        <w:rPr>
          <w:rFonts w:ascii="Arial" w:cs="Arial" w:eastAsia="Arial" w:hAnsi="Arial"/>
          <w:sz w:val="18"/>
          <w:szCs w:val="18"/>
          <w:color w:val="auto"/>
        </w:rPr>
        <w:t>In a previous Phase 1 trial of BNT121, we observed first-in-human data in 13 patients with metastatic melanoma demonstrating</w:t>
      </w:r>
      <w:r>
        <w:rPr>
          <w:rFonts w:ascii="Arial" w:cs="Arial" w:eastAsia="Arial" w:hAnsi="Arial"/>
          <w:sz w:val="18"/>
          <w:szCs w:val="18"/>
          <w:b w:val="1"/>
          <w:bCs w:val="1"/>
          <w:color w:val="auto"/>
        </w:rPr>
        <w:t xml:space="preserve"> </w:t>
      </w:r>
      <w:r>
        <w:rPr>
          <w:rFonts w:ascii="Arial" w:cs="Arial" w:eastAsia="Arial" w:hAnsi="Arial"/>
          <w:sz w:val="18"/>
          <w:szCs w:val="18"/>
          <w:color w:val="auto"/>
        </w:rPr>
        <w:t>stable progression-free survival in nine patients for up to 41 months, and additional objective responses in three of five patients with metastatic disease at time of treatment with iNeST, including one patient receiving combination therapy. We also observed a significant decrease in the cumulative recurrence rate post-treatment as compared to pre-treatment.</w:t>
      </w:r>
    </w:p>
    <w:p>
      <w:pPr>
        <w:spacing w:after="0" w:line="252"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are a pioneer and global leader in developing fully individualized cancer immunotherapies. We have developed a first of its kind, on-demand manufacturing process to treat each individual patient based on the mutation profile of the patient’s tumor. We are investigating this treatment approach in the clinic in collaboration with 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-12065</wp:posOffset>
            </wp:positionV>
            <wp:extent cx="4793615" cy="13290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9361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Our iNeST process. </w:t>
      </w:r>
      <w:r>
        <w:rPr>
          <w:rFonts w:ascii="Arial" w:cs="Arial" w:eastAsia="Arial" w:hAnsi="Arial"/>
          <w:sz w:val="14"/>
          <w:szCs w:val="14"/>
          <w:color w:val="auto"/>
        </w:rPr>
        <w:t>The figure above depicts our iNeST process for the on-demand production of individualized mRNA cancer immunotherapies.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iNeST process is summarized below:</w:t>
      </w:r>
    </w:p>
    <w:p>
      <w:pPr>
        <w:spacing w:after="0" w:line="131" w:lineRule="exact"/>
        <w:rPr>
          <w:sz w:val="20"/>
          <w:szCs w:val="20"/>
          <w:color w:val="auto"/>
        </w:rPr>
      </w:pPr>
    </w:p>
    <w:p>
      <w:pPr>
        <w:ind w:left="1180" w:right="100" w:hanging="436"/>
        <w:spacing w:after="0" w:line="264" w:lineRule="auto"/>
        <w:tabs>
          <w:tab w:leader="none" w:pos="1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blood sample and tumor biopsy is taken from the patient to obtain healthy cells and tumor tissue. We extract healthy cells from the patient’s blood sample and tumor cells from the tumor sample. We use NGS to analyze genetic material (DNA and RNA) of these cells to identify which mutations are present in the cancer cells compared to healthy cells.</w:t>
      </w:r>
    </w:p>
    <w:p>
      <w:pPr>
        <w:spacing w:after="0" w:line="86"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We apply proprietary bioinformatic algorithms to identify tumor-specific mutations. The mutations within a cancer cell differ widely from patient to patient and form a unique signature for each tumor. This genomic information can be further utilized to analyze tumor heterogeneity and microenvironment as well as individual aspects of the immune system like the HLA type.</w:t>
      </w:r>
    </w:p>
    <w:p>
      <w:pPr>
        <w:spacing w:after="0" w:line="86" w:lineRule="exact"/>
        <w:rPr>
          <w:rFonts w:ascii="Arial" w:cs="Arial" w:eastAsia="Arial" w:hAnsi="Arial"/>
          <w:sz w:val="18"/>
          <w:szCs w:val="18"/>
          <w:color w:val="auto"/>
        </w:rPr>
      </w:pPr>
    </w:p>
    <w:p>
      <w:pPr>
        <w:ind w:left="1180" w:hanging="436"/>
        <w:spacing w:after="0" w:line="312" w:lineRule="auto"/>
        <w:tabs>
          <w:tab w:leader="none" w:pos="11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these bioinformatic algorithms, we then select mutations that are the most promising therapeutic targets. The specific traits of the patient’s immune system, including HLA type, are key to the selection of the most appropriate targets. Picking multiple mutations increases the chance to induce potent T cell responses and reduces the risk that the tumor evades T cell attack over time. We account</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240" w:top="460"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0"/>
        <w:spacing w:after="0" w:line="277" w:lineRule="auto"/>
        <w:rPr>
          <w:sz w:val="20"/>
          <w:szCs w:val="20"/>
          <w:color w:val="auto"/>
        </w:rPr>
      </w:pPr>
      <w:r>
        <w:rPr>
          <w:rFonts w:ascii="Arial" w:cs="Arial" w:eastAsia="Arial" w:hAnsi="Arial"/>
          <w:sz w:val="18"/>
          <w:szCs w:val="18"/>
          <w:color w:val="auto"/>
        </w:rPr>
        <w:t>for heterogeneity of each tumor by preferentially selecting mutations that are expressed on all tumor cells. Importantly, the selected mutations are intended to ensure both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 induction.</w:t>
      </w:r>
    </w:p>
    <w:p>
      <w:pPr>
        <w:spacing w:after="0" w:line="76" w:lineRule="exact"/>
        <w:rPr>
          <w:sz w:val="20"/>
          <w:szCs w:val="20"/>
          <w:color w:val="auto"/>
        </w:rPr>
      </w:pPr>
    </w:p>
    <w:p>
      <w:pPr>
        <w:ind w:left="1180" w:right="180" w:hanging="436"/>
        <w:spacing w:after="0" w:line="264" w:lineRule="auto"/>
        <w:tabs>
          <w:tab w:leader="none" w:pos="1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Following mutation selection, we design the structure for the iNeST product. The chosen mutations have to be arranged in a certain order and the DNA sequence of the mutations has to be optimized. This is important to ensure a robust production of the starting material, or DNA matrix, for the GMP manufacturing of the iNeST product.</w:t>
      </w:r>
    </w:p>
    <w:p>
      <w:pPr>
        <w:spacing w:after="0" w:line="86"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Next we produce the patient-specific iNeST product under GMP conditions and the iNeST product undergoes numerous different quality control tests.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iNeST product is transferred to the hospital and injected into the same patient by the physician.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This process has been designed for the on-demand delivery of our iNeST products, and currently takes approximately six weeks.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iNeST Development Plan</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We are currently developing iNeST therapeutics for the treatment of metastatic melanoma and multiple solid tumors. We are conducting two clinical trials of iNeST in collaboration with Genentech, including one randomized Phase 2 trial in first-line melanoma in combination with pembrolizumab and a Phase 1a/1b trial in patients with locally advanced or metastatic tumors (including in melanoma, non-small cell lung cancer, bladder cancer and other solid tumors) as a monotherapy and in combination with atezolizumab. We expect to announce a topline data update from the first-line melanoma trial in the second half of 2020 and a data update from the Phase 1a/1b trial in solid tumors in 2020. We and Genetech are considering a number of additional Phase 2 investments, which could start as early as 2020.</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26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Antigens</w:t>
            </w:r>
          </w:p>
        </w:tc>
        <w:tc>
          <w:tcPr>
            <w:tcW w:w="220" w:type="dxa"/>
            <w:vAlign w:val="bottom"/>
          </w:tcPr>
          <w:p>
            <w:pPr>
              <w:spacing w:after="0"/>
              <w:rPr>
                <w:sz w:val="16"/>
                <w:szCs w:val="16"/>
                <w:color w:val="auto"/>
              </w:rPr>
            </w:pPr>
          </w:p>
        </w:tc>
        <w:tc>
          <w:tcPr>
            <w:tcW w:w="26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2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RO7198457 (BNT122)</w:t>
            </w:r>
          </w:p>
        </w:tc>
        <w:tc>
          <w:tcPr>
            <w:tcW w:w="220" w:type="dxa"/>
            <w:vAlign w:val="bottom"/>
          </w:tcPr>
          <w:p>
            <w:pPr>
              <w:spacing w:after="0"/>
              <w:rPr>
                <w:sz w:val="16"/>
                <w:szCs w:val="16"/>
                <w:color w:val="auto"/>
              </w:rPr>
            </w:pPr>
          </w:p>
        </w:tc>
        <w:tc>
          <w:tcPr>
            <w:tcW w:w="2620" w:type="dxa"/>
            <w:vAlign w:val="bottom"/>
          </w:tcPr>
          <w:p>
            <w:pPr>
              <w:spacing w:after="0" w:line="195" w:lineRule="exact"/>
              <w:rPr>
                <w:sz w:val="20"/>
                <w:szCs w:val="20"/>
                <w:color w:val="auto"/>
              </w:rPr>
            </w:pPr>
            <w:r>
              <w:rPr>
                <w:rFonts w:ascii="Arial" w:cs="Arial" w:eastAsia="Arial" w:hAnsi="Arial"/>
                <w:sz w:val="18"/>
                <w:szCs w:val="18"/>
                <w:color w:val="auto"/>
                <w:w w:val="91"/>
              </w:rPr>
              <w:t>Up to 20 neoantigens selected on a</w:t>
            </w:r>
          </w:p>
        </w:tc>
        <w:tc>
          <w:tcPr>
            <w:tcW w:w="220" w:type="dxa"/>
            <w:vAlign w:val="bottom"/>
          </w:tcPr>
          <w:p>
            <w:pPr>
              <w:spacing w:after="0"/>
              <w:rPr>
                <w:sz w:val="16"/>
                <w:szCs w:val="16"/>
                <w:color w:val="auto"/>
              </w:rPr>
            </w:pPr>
          </w:p>
        </w:tc>
        <w:tc>
          <w:tcPr>
            <w:tcW w:w="2640" w:type="dxa"/>
            <w:vAlign w:val="bottom"/>
          </w:tcPr>
          <w:p>
            <w:pPr>
              <w:spacing w:after="0" w:line="195" w:lineRule="exact"/>
              <w:rPr>
                <w:sz w:val="20"/>
                <w:szCs w:val="20"/>
                <w:color w:val="auto"/>
              </w:rPr>
            </w:pPr>
            <w:r>
              <w:rPr>
                <w:rFonts w:ascii="Arial" w:cs="Arial" w:eastAsia="Arial" w:hAnsi="Arial"/>
                <w:sz w:val="18"/>
                <w:szCs w:val="18"/>
                <w:color w:val="auto"/>
              </w:rPr>
              <w:t>Phase 2: first-line melanoma in</w:t>
            </w:r>
          </w:p>
        </w:tc>
        <w:tc>
          <w:tcPr>
            <w:tcW w:w="160" w:type="dxa"/>
            <w:vAlign w:val="bottom"/>
          </w:tcPr>
          <w:p>
            <w:pPr>
              <w:spacing w:after="0"/>
              <w:rPr>
                <w:sz w:val="16"/>
                <w:szCs w:val="16"/>
                <w:color w:val="auto"/>
              </w:rPr>
            </w:pPr>
          </w:p>
        </w:tc>
        <w:tc>
          <w:tcPr>
            <w:tcW w:w="1980" w:type="dxa"/>
            <w:vAlign w:val="bottom"/>
          </w:tcPr>
          <w:p>
            <w:pPr>
              <w:spacing w:after="0" w:line="195" w:lineRule="exact"/>
              <w:rPr>
                <w:sz w:val="20"/>
                <w:szCs w:val="20"/>
                <w:color w:val="auto"/>
              </w:rPr>
            </w:pPr>
            <w:r>
              <w:rPr>
                <w:rFonts w:ascii="Arial" w:cs="Arial" w:eastAsia="Arial" w:hAnsi="Arial"/>
                <w:sz w:val="18"/>
                <w:szCs w:val="18"/>
                <w:color w:val="auto"/>
                <w:w w:val="92"/>
              </w:rPr>
              <w:t>Report topline data update</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patient by patient basis</w:t>
            </w: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w w:val="99"/>
              </w:rPr>
              <w:t>combination with pembrolizumab</w:t>
            </w: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in 2H 2020</w:t>
            </w:r>
            <w:r>
              <w:rPr>
                <w:rFonts w:ascii="Arial" w:cs="Arial" w:eastAsia="Arial" w:hAnsi="Arial"/>
                <w:sz w:val="15"/>
                <w:szCs w:val="15"/>
                <w:color w:val="auto"/>
              </w:rPr>
              <w:t>2</w:t>
            </w:r>
          </w:p>
        </w:tc>
      </w:tr>
      <w:tr>
        <w:trPr>
          <w:trHeight w:val="32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w w:val="95"/>
              </w:rPr>
              <w:t>Phase 1a/1b: multiple solid tumors</w:t>
            </w: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w w:val="89"/>
              </w:rPr>
              <w:t>Report data update in 2020</w:t>
            </w:r>
          </w:p>
        </w:tc>
      </w:tr>
    </w:tbl>
    <w:p>
      <w:pPr>
        <w:spacing w:after="0" w:line="346" w:lineRule="exact"/>
        <w:rPr>
          <w:sz w:val="20"/>
          <w:szCs w:val="20"/>
          <w:color w:val="auto"/>
        </w:rPr>
      </w:pPr>
    </w:p>
    <w:p>
      <w:pPr>
        <w:ind w:left="2180" w:hanging="545"/>
        <w:spacing w:after="0"/>
        <w:tabs>
          <w:tab w:leader="none" w:pos="21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Intratumoral mRNA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406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1406525"/>
                    </a:xfrm>
                    <a:prstGeom prst="rect">
                      <a:avLst/>
                    </a:prstGeom>
                    <a:noFill/>
                  </pic:spPr>
                </pic:pic>
              </a:graphicData>
            </a:graphic>
          </wp:anchor>
        </w:drawing>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Intratumoral mRNA Platform</w:t>
      </w:r>
    </w:p>
    <w:p>
      <w:pPr>
        <w:spacing w:after="0" w:line="127" w:lineRule="exact"/>
        <w:rPr>
          <w:sz w:val="20"/>
          <w:szCs w:val="20"/>
          <w:color w:val="auto"/>
        </w:rPr>
      </w:pPr>
    </w:p>
    <w:p>
      <w:pPr>
        <w:ind w:left="740" w:hanging="320"/>
        <w:spacing w:after="0"/>
        <w:tabs>
          <w:tab w:leader="none" w:pos="74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Immunomodulator-encoding mRNA injected directly into the tumor in order to avoid off-target toxicities.</w:t>
      </w:r>
    </w:p>
    <w:p>
      <w:pPr>
        <w:spacing w:after="0" w:line="130" w:lineRule="exact"/>
        <w:rPr>
          <w:rFonts w:ascii="Arial" w:cs="Arial" w:eastAsia="Arial" w:hAnsi="Arial"/>
          <w:sz w:val="18"/>
          <w:szCs w:val="18"/>
          <w:color w:val="auto"/>
        </w:rPr>
      </w:pPr>
    </w:p>
    <w:p>
      <w:pPr>
        <w:ind w:left="740" w:right="40" w:hanging="320"/>
        <w:spacing w:after="0" w:line="282" w:lineRule="auto"/>
        <w:tabs>
          <w:tab w:leader="none" w:pos="74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formulations, delivered by intratumoral injection.</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Co-development and co-commercialization, at our option, in collaboration with Sanofi.</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SAR441000 (BNT131) for advanced solid tumors as a monotherapy and in combination with cemiplimab.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137795</wp:posOffset>
            </wp:positionV>
            <wp:extent cx="7632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36" w:lineRule="exact"/>
        <w:rPr>
          <w:sz w:val="20"/>
          <w:szCs w:val="20"/>
          <w:color w:val="auto"/>
        </w:rPr>
      </w:pPr>
    </w:p>
    <w:p>
      <w:pPr>
        <w:ind w:left="420" w:right="60" w:hanging="216"/>
        <w:spacing w:after="0" w:line="277" w:lineRule="auto"/>
        <w:tabs>
          <w:tab w:leader="none" w:pos="420" w:val="left"/>
        </w:tabs>
        <w:numPr>
          <w:ilvl w:val="0"/>
          <w:numId w:val="152"/>
        </w:numPr>
        <w:rPr>
          <w:rFonts w:ascii="Arial" w:cs="Arial" w:eastAsia="Arial" w:hAnsi="Arial"/>
          <w:sz w:val="15"/>
          <w:szCs w:val="15"/>
          <w:color w:val="auto"/>
        </w:rPr>
      </w:pPr>
      <w:r>
        <w:rPr>
          <w:rFonts w:ascii="Arial" w:cs="Arial" w:eastAsia="Arial" w:hAnsi="Arial"/>
          <w:sz w:val="18"/>
          <w:szCs w:val="18"/>
          <w:color w:val="auto"/>
        </w:rPr>
        <w:t>We expect this topline data update to include an update on the ongoing study, including patient enrollment numbers, with full efficacy and safety data for an interim update expected in the second half of 2021.</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collaboration with Sanofi, we are leveraging our mRNA technology to develop intratumoral immunotherapies for the treatment of solid tumors. Intratumoral immunotherapy is designed to promote innate and adaptive immune responses against tumors, without toxicities related to systemic administration. Our intratumoral immunotherapy involves injection of cytokine-encoding mRNA directly into a tumor in order to alter the tumor microenvironment and promote greater T cell activity. This approach has been found in preclinical studies to boost cancer-specific immune responses locally, while also producing tumor responses in remote parts of the body due to the circulation of properly activated anti-tumor immune cells, known as an abscopal effect.</w:t>
      </w:r>
    </w:p>
    <w:p>
      <w:pPr>
        <w:spacing w:after="0" w:line="193" w:lineRule="exact"/>
        <w:rPr>
          <w:sz w:val="20"/>
          <w:szCs w:val="20"/>
          <w:color w:val="auto"/>
        </w:rPr>
      </w:pPr>
    </w:p>
    <w:p>
      <w:pPr>
        <w:jc w:val="both"/>
        <w:ind w:left="200" w:right="240" w:firstLine="441"/>
        <w:spacing w:after="0" w:line="286" w:lineRule="auto"/>
        <w:rPr>
          <w:sz w:val="20"/>
          <w:szCs w:val="20"/>
          <w:color w:val="auto"/>
        </w:rPr>
      </w:pPr>
      <w:r>
        <w:rPr>
          <w:rFonts w:ascii="Arial" w:cs="Arial" w:eastAsia="Arial" w:hAnsi="Arial"/>
          <w:sz w:val="17"/>
          <w:szCs w:val="17"/>
          <w:color w:val="auto"/>
        </w:rPr>
        <w:t>The first intratumoral immunotherapy product candidate arising from our collaboration, SAR441000 (BNT131), includes modified mRNA that encodes for the IL-15sushi, IL-12sc, GM-CSF and IFN-α cytokines. In preclinical studies, SAR441000 (BNT131) promoted increased levels of local cytokine expression within the tumor microenvironment and activated innate and adaptive immune responses against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131445</wp:posOffset>
            </wp:positionV>
            <wp:extent cx="4305300" cy="36449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05300"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Therapeutic mode of action of intratumoral mRNA immunotherapy</w:t>
      </w:r>
      <w:r>
        <w:rPr>
          <w:rFonts w:ascii="Arial" w:cs="Arial" w:eastAsia="Arial" w:hAnsi="Arial"/>
          <w:sz w:val="13"/>
          <w:szCs w:val="13"/>
          <w:color w:val="auto"/>
        </w:rPr>
        <w:t>. The figure above demonstrates how SAR441000 (BNT131) promotes cytokine expression within the tumor itself.</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Intratumoral Development Plan</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lead intratumoral mRNA collaboration product candidate from our collaboration is being investigated in a Phase 1 clinical trial sponsored by Sanofi. This trial is expected to enroll approximately 264 patients with certain advanced solid tumors, as a monotherapy and in combination with cemiplimab. This trial is currently being run at four sites in Europe. A data update from this trial may be reported in the second half of 2020. As the trial is sponsored and conducted by Sanofi, the timing of data updates is not under our control, and is subject to change by Sanofi.</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6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Candidate</w:t>
            </w:r>
          </w:p>
        </w:tc>
        <w:tc>
          <w:tcPr>
            <w:tcW w:w="240" w:type="dxa"/>
            <w:vAlign w:val="bottom"/>
          </w:tcPr>
          <w:p>
            <w:pPr>
              <w:spacing w:after="0"/>
              <w:rPr>
                <w:sz w:val="16"/>
                <w:szCs w:val="16"/>
                <w:color w:val="auto"/>
              </w:rPr>
            </w:pPr>
          </w:p>
        </w:tc>
        <w:tc>
          <w:tcPr>
            <w:tcW w:w="25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Encoded Cytokines</w:t>
            </w:r>
          </w:p>
        </w:tc>
        <w:tc>
          <w:tcPr>
            <w:tcW w:w="220" w:type="dxa"/>
            <w:vAlign w:val="bottom"/>
          </w:tcPr>
          <w:p>
            <w:pPr>
              <w:spacing w:after="0"/>
              <w:rPr>
                <w:sz w:val="16"/>
                <w:szCs w:val="16"/>
                <w:color w:val="auto"/>
              </w:rPr>
            </w:pPr>
          </w:p>
        </w:tc>
        <w:tc>
          <w:tcPr>
            <w:tcW w:w="25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Development Phase</w:t>
            </w:r>
          </w:p>
        </w:tc>
        <w:tc>
          <w:tcPr>
            <w:tcW w:w="220" w:type="dxa"/>
            <w:vAlign w:val="bottom"/>
          </w:tcPr>
          <w:p>
            <w:pPr>
              <w:spacing w:after="0"/>
              <w:rPr>
                <w:sz w:val="16"/>
                <w:szCs w:val="16"/>
                <w:color w:val="auto"/>
              </w:rPr>
            </w:pPr>
          </w:p>
        </w:tc>
        <w:tc>
          <w:tcPr>
            <w:tcW w:w="24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Next Steps</w:t>
            </w:r>
          </w:p>
        </w:tc>
      </w:tr>
      <w:tr>
        <w:trPr>
          <w:trHeight w:val="195"/>
        </w:trPr>
        <w:tc>
          <w:tcPr>
            <w:tcW w:w="20" w:type="dxa"/>
            <w:vAlign w:val="bottom"/>
          </w:tcPr>
          <w:p>
            <w:pPr>
              <w:spacing w:after="0"/>
              <w:rPr>
                <w:sz w:val="16"/>
                <w:szCs w:val="16"/>
                <w:color w:val="auto"/>
              </w:rPr>
            </w:pPr>
          </w:p>
        </w:tc>
        <w:tc>
          <w:tcPr>
            <w:tcW w:w="2860" w:type="dxa"/>
            <w:vAlign w:val="bottom"/>
          </w:tcPr>
          <w:p>
            <w:pPr>
              <w:spacing w:after="0" w:line="195" w:lineRule="exact"/>
              <w:rPr>
                <w:sz w:val="20"/>
                <w:szCs w:val="20"/>
                <w:color w:val="auto"/>
              </w:rPr>
            </w:pPr>
            <w:r>
              <w:rPr>
                <w:rFonts w:ascii="Arial" w:cs="Arial" w:eastAsia="Arial" w:hAnsi="Arial"/>
                <w:sz w:val="18"/>
                <w:szCs w:val="18"/>
                <w:color w:val="auto"/>
              </w:rPr>
              <w:t>SAR441000 (BNT131)</w:t>
            </w:r>
          </w:p>
        </w:tc>
        <w:tc>
          <w:tcPr>
            <w:tcW w:w="240" w:type="dxa"/>
            <w:vAlign w:val="bottom"/>
          </w:tcPr>
          <w:p>
            <w:pPr>
              <w:spacing w:after="0"/>
              <w:rPr>
                <w:sz w:val="16"/>
                <w:szCs w:val="16"/>
                <w:color w:val="auto"/>
              </w:rPr>
            </w:pPr>
          </w:p>
        </w:tc>
        <w:tc>
          <w:tcPr>
            <w:tcW w:w="2540" w:type="dxa"/>
            <w:vAlign w:val="bottom"/>
          </w:tcPr>
          <w:p>
            <w:pPr>
              <w:spacing w:after="0" w:line="195" w:lineRule="exact"/>
              <w:rPr>
                <w:sz w:val="20"/>
                <w:szCs w:val="20"/>
                <w:color w:val="auto"/>
              </w:rPr>
            </w:pPr>
            <w:r>
              <w:rPr>
                <w:rFonts w:ascii="Arial" w:cs="Arial" w:eastAsia="Arial" w:hAnsi="Arial"/>
                <w:sz w:val="18"/>
                <w:szCs w:val="18"/>
                <w:color w:val="auto"/>
                <w:w w:val="93"/>
              </w:rPr>
              <w:t>IL-15sushi, IL-12sc, GM-CSF and</w:t>
            </w:r>
          </w:p>
        </w:tc>
        <w:tc>
          <w:tcPr>
            <w:tcW w:w="220" w:type="dxa"/>
            <w:vAlign w:val="bottom"/>
          </w:tcPr>
          <w:p>
            <w:pPr>
              <w:spacing w:after="0"/>
              <w:rPr>
                <w:sz w:val="16"/>
                <w:szCs w:val="16"/>
                <w:color w:val="auto"/>
              </w:rPr>
            </w:pPr>
          </w:p>
        </w:tc>
        <w:tc>
          <w:tcPr>
            <w:tcW w:w="2520" w:type="dxa"/>
            <w:vAlign w:val="bottom"/>
          </w:tcPr>
          <w:p>
            <w:pPr>
              <w:spacing w:after="0" w:line="195" w:lineRule="exact"/>
              <w:rPr>
                <w:sz w:val="20"/>
                <w:szCs w:val="20"/>
                <w:color w:val="auto"/>
              </w:rPr>
            </w:pPr>
            <w:r>
              <w:rPr>
                <w:rFonts w:ascii="Arial" w:cs="Arial" w:eastAsia="Arial" w:hAnsi="Arial"/>
                <w:sz w:val="18"/>
                <w:szCs w:val="18"/>
                <w:color w:val="auto"/>
                <w:w w:val="88"/>
              </w:rPr>
              <w:t>Phase 1: Advanced solid tumors as</w:t>
            </w:r>
          </w:p>
        </w:tc>
        <w:tc>
          <w:tcPr>
            <w:tcW w:w="220" w:type="dxa"/>
            <w:vAlign w:val="bottom"/>
          </w:tcPr>
          <w:p>
            <w:pPr>
              <w:spacing w:after="0"/>
              <w:rPr>
                <w:sz w:val="16"/>
                <w:szCs w:val="16"/>
                <w:color w:val="auto"/>
              </w:rPr>
            </w:pPr>
          </w:p>
        </w:tc>
        <w:tc>
          <w:tcPr>
            <w:tcW w:w="2420" w:type="dxa"/>
            <w:vAlign w:val="bottom"/>
          </w:tcPr>
          <w:p>
            <w:pPr>
              <w:spacing w:after="0" w:line="195" w:lineRule="exact"/>
              <w:rPr>
                <w:sz w:val="20"/>
                <w:szCs w:val="20"/>
                <w:color w:val="auto"/>
              </w:rPr>
            </w:pPr>
            <w:r>
              <w:rPr>
                <w:rFonts w:ascii="Arial" w:cs="Arial" w:eastAsia="Arial" w:hAnsi="Arial"/>
                <w:sz w:val="18"/>
                <w:szCs w:val="18"/>
                <w:color w:val="auto"/>
              </w:rPr>
              <w:t>Data update in 2H 2020*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80" w:type="dxa"/>
            <w:vAlign w:val="bottom"/>
            <w:gridSpan w:val="2"/>
          </w:tcPr>
          <w:p>
            <w:pPr>
              <w:ind w:left="240"/>
              <w:spacing w:after="0"/>
              <w:rPr>
                <w:sz w:val="20"/>
                <w:szCs w:val="20"/>
                <w:color w:val="auto"/>
              </w:rPr>
            </w:pPr>
            <w:r>
              <w:rPr>
                <w:rFonts w:ascii="Arial" w:cs="Arial" w:eastAsia="Arial" w:hAnsi="Arial"/>
                <w:sz w:val="18"/>
                <w:szCs w:val="18"/>
                <w:color w:val="auto"/>
              </w:rPr>
              <w:t>IFN-α</w:t>
            </w: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w w:val="91"/>
              </w:rPr>
              <w:t>a monotherapy and in combination</w:t>
            </w: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00"/>
              <w:spacing w:after="0"/>
              <w:rPr>
                <w:sz w:val="20"/>
                <w:szCs w:val="20"/>
                <w:color w:val="auto"/>
              </w:rPr>
            </w:pPr>
            <w:r>
              <w:rPr>
                <w:rFonts w:ascii="Arial" w:cs="Arial" w:eastAsia="Arial" w:hAnsi="Arial"/>
                <w:sz w:val="18"/>
                <w:szCs w:val="18"/>
                <w:color w:val="auto"/>
              </w:rPr>
              <w:t>with cemiplimab</w:t>
            </w: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As the trial is sponsored and conducted by Sanofi, the timing of data updates is not under our control, and is subject to change by Sanofi.</w:t>
      </w:r>
    </w:p>
    <w:p>
      <w:pPr>
        <w:spacing w:after="0" w:line="385" w:lineRule="exact"/>
        <w:rPr>
          <w:sz w:val="20"/>
          <w:szCs w:val="20"/>
          <w:color w:val="auto"/>
        </w:rPr>
      </w:pPr>
    </w:p>
    <w:p>
      <w:pPr>
        <w:ind w:left="1620" w:hanging="430"/>
        <w:spacing w:after="0"/>
        <w:tabs>
          <w:tab w:leader="none" w:pos="162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Infectious Disease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2693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7700" cy="12693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740" w:hanging="320"/>
        <w:spacing w:after="0"/>
        <w:tabs>
          <w:tab w:leader="none" w:pos="74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mRNA-based vaccines targeting infectious disease pathogens.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Self-amplifying mRNA providing high immunogenicity with smaller amounts of mRNA.</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LNPs.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Collaboration with Pfizer and exclusive option arrangement with Penn.</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Influenza vaccine.</w:t>
      </w:r>
    </w:p>
    <w:p>
      <w:pPr>
        <w:spacing w:after="0" w:line="283"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Expanding beyond our research in oncology, we are leveraging our mRNA technologies to direct the immune system more effectively against infectious diseases. Our infectious disease vaccine candidates contain self-replicating or trans-replicating, modified mRNA-encoding antigens specific to a target pathogen, delivered in various LNP formulations in order to activate and direct T cells and B cells to fight the pathogen.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Influenza Vaccine</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are collaborating with Pfizer to develop an influenza vaccine using our mRNA-based immunotherapy technology. Current influenza vaccines consist of antigens from inactivated influenza viruses, recombinant influenza haemagglutinin, or HA, proteins or live attenuated influenza viruses and are available as trivalent (containing two influenza A strains and one influenza B strain) or quadrivalent (containing two influenza A strains and two influenza B strains) vaccines. Currently available influenza vaccines are produced in chicken eggs or cell culture and take about five to six months to produce. This requires the composition of the coming season’s vaccine to be selected by the World Health Organization, or WHO, far in advance for the vaccine to be available on time, which reduces the reliability of that prediction.</w:t>
      </w:r>
    </w:p>
    <w:p>
      <w:pPr>
        <w:spacing w:after="0" w:line="17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anticipate that our mRNA-based vaccine can be manufactured within three months from the time the recommendation is published, including cloning and production and therefore the WHO’s review of the vaccine components can occur closer to the influenza season to obtain a more reliable prediction. In addition, the mRNA manufacturing process is designed to produce an HA vaccine antigen that matches the HA of circulating influenza strains, in contrast to egg- or cell-based processes which can introduce mutations in the HA amino acid sequence. The flexibility of the mRNA vaccine platform could allow for generation of vaccines against genetically drifted seasonal viruses or pandemic strains. We currently expect to initiate a first clinical trial for one of our influenza vaccine mRNA formulations by the end of 2020.</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Infectious Diseases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October 2018, we entered into a research collaboration with Penn, under which we have the exclusive option to develop and commercialize prophylactic mRNA immunotherapies for the treatment of up to 10 infectious disease indications. We expect to report our first product candidates under this collaboration, and advance our first product candidate into the clinic, in the first half of 2021.</w:t>
      </w:r>
    </w:p>
    <w:p>
      <w:pPr>
        <w:spacing w:after="0" w:line="181" w:lineRule="exact"/>
        <w:rPr>
          <w:sz w:val="20"/>
          <w:szCs w:val="20"/>
          <w:color w:val="auto"/>
        </w:rPr>
      </w:pPr>
    </w:p>
    <w:p>
      <w:pPr>
        <w:ind w:left="200" w:right="740" w:firstLine="441"/>
        <w:spacing w:after="0" w:line="342" w:lineRule="auto"/>
        <w:rPr>
          <w:sz w:val="20"/>
          <w:szCs w:val="20"/>
          <w:color w:val="auto"/>
        </w:rPr>
      </w:pPr>
      <w:r>
        <w:rPr>
          <w:rFonts w:ascii="Arial" w:cs="Arial" w:eastAsia="Arial" w:hAnsi="Arial"/>
          <w:sz w:val="16"/>
          <w:szCs w:val="16"/>
          <w:color w:val="auto"/>
        </w:rPr>
        <w:t>In August 2019, we entered into a letter agreement and investment agreement with the Bill &amp; Melinda Gates Foundation to advance the development of immunotherapies for the prevention and/or treatment of HIV and tuberculosis and up to three additional infectious diseases.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3. mRNA-based Protein Replacement Platform for Rare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1918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7700" cy="1191895"/>
                    </a:xfrm>
                    <a:prstGeom prst="rect">
                      <a:avLst/>
                    </a:prstGeom>
                    <a:noFill/>
                  </pic:spPr>
                </pic:pic>
              </a:graphicData>
            </a:graphic>
          </wp:anchor>
        </w:drawing>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Protein Replacement Platform for Rare Diseases</w:t>
      </w:r>
    </w:p>
    <w:p>
      <w:pPr>
        <w:spacing w:after="0" w:line="127" w:lineRule="exact"/>
        <w:rPr>
          <w:sz w:val="20"/>
          <w:szCs w:val="20"/>
          <w:color w:val="auto"/>
        </w:rPr>
      </w:pPr>
    </w:p>
    <w:p>
      <w:pPr>
        <w:ind w:left="740" w:hanging="320"/>
        <w:spacing w:after="0"/>
        <w:tabs>
          <w:tab w:leader="none" w:pos="740" w:val="left"/>
        </w:tabs>
        <w:numPr>
          <w:ilvl w:val="0"/>
          <w:numId w:val="155"/>
        </w:numPr>
        <w:rPr>
          <w:rFonts w:ascii="Arial" w:cs="Arial" w:eastAsia="Arial" w:hAnsi="Arial"/>
          <w:sz w:val="17"/>
          <w:szCs w:val="17"/>
          <w:color w:val="auto"/>
        </w:rPr>
      </w:pPr>
      <w:r>
        <w:rPr>
          <w:rFonts w:ascii="Arial" w:cs="Arial" w:eastAsia="Arial" w:hAnsi="Arial"/>
          <w:sz w:val="17"/>
          <w:szCs w:val="17"/>
          <w:b w:val="1"/>
          <w:bCs w:val="1"/>
          <w:color w:val="auto"/>
        </w:rPr>
        <w:t xml:space="preserve">Concept: </w:t>
      </w:r>
      <w:r>
        <w:rPr>
          <w:rFonts w:ascii="Arial" w:cs="Arial" w:eastAsia="Arial" w:hAnsi="Arial"/>
          <w:sz w:val="17"/>
          <w:szCs w:val="17"/>
          <w:color w:val="auto"/>
        </w:rPr>
        <w:t>Therapeutic proteins encoded by mRNA and produced in the patient as an alternative to recombinant protein replacement.</w:t>
      </w:r>
    </w:p>
    <w:p>
      <w:pPr>
        <w:spacing w:after="0" w:line="142" w:lineRule="exact"/>
        <w:rPr>
          <w:rFonts w:ascii="Arial" w:cs="Arial" w:eastAsia="Arial" w:hAnsi="Arial"/>
          <w:sz w:val="17"/>
          <w:szCs w:val="17"/>
          <w:color w:val="auto"/>
        </w:rPr>
      </w:pPr>
    </w:p>
    <w:p>
      <w:pPr>
        <w:ind w:left="740" w:right="360" w:hanging="320"/>
        <w:spacing w:after="0" w:line="282" w:lineRule="auto"/>
        <w:tabs>
          <w:tab w:leader="none" w:pos="7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deimmunized to avoid immune activation in order to allow for translation of the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protein in the cells.</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Liver-targeting LNPs.</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Genevant.</w:t>
      </w:r>
    </w:p>
    <w:p>
      <w:pPr>
        <w:spacing w:after="0" w:line="283"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 xml:space="preserve">By incorporating modified nucleosides into our mRNA, we are able to reduce the immunogenicity of our product candidates, thereby allowing their use for therapeutic protein production. In addition, we utilize advanced mRNA delivery methods to protect the mRNA cargo </w:t>
      </w:r>
      <w:r>
        <w:rPr>
          <w:rFonts w:ascii="Arial" w:cs="Arial" w:eastAsia="Arial" w:hAnsi="Arial"/>
          <w:sz w:val="16"/>
          <w:szCs w:val="16"/>
          <w:i w:val="1"/>
          <w:iCs w:val="1"/>
          <w:color w:val="auto"/>
        </w:rPr>
        <w:t>en route</w:t>
      </w:r>
      <w:r>
        <w:rPr>
          <w:rFonts w:ascii="Arial" w:cs="Arial" w:eastAsia="Arial" w:hAnsi="Arial"/>
          <w:sz w:val="16"/>
          <w:szCs w:val="16"/>
          <w:color w:val="auto"/>
        </w:rPr>
        <w:t xml:space="preserve"> to its target and promote its uptake into liver cells. Current protein-based replacement therapies were developed to treat rare diseases by administering recombinant proteins. Such therapies are limited to diseases where the missing protein function is extracellular. However, mRNA-based protein replacement therapy also has the potential to treat illnesses with intracellular protein defects, as long as the mRNA can be delivered into the affected cells.</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60"/>
          </w:cols>
          <w:pgMar w:left="24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mRNA-based protein replacement therapy features:</w:t>
      </w:r>
    </w:p>
    <w:p>
      <w:pPr>
        <w:spacing w:after="0" w:line="127" w:lineRule="exact"/>
        <w:rPr>
          <w:sz w:val="20"/>
          <w:szCs w:val="20"/>
          <w:color w:val="auto"/>
        </w:rPr>
      </w:pPr>
    </w:p>
    <w:p>
      <w:pPr>
        <w:ind w:left="640" w:right="200" w:hanging="328"/>
        <w:spacing w:after="0" w:line="282" w:lineRule="auto"/>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Nucleoside-modified mRNA. </w:t>
      </w:r>
      <w:r>
        <w:rPr>
          <w:rFonts w:ascii="Arial" w:cs="Arial" w:eastAsia="Arial" w:hAnsi="Arial"/>
          <w:sz w:val="18"/>
          <w:szCs w:val="18"/>
          <w:color w:val="auto"/>
        </w:rPr>
        <w:t>Replacing uridines in mRNA with modified analogues is important to avoid immune activation that can provoke</w:t>
      </w:r>
      <w:r>
        <w:rPr>
          <w:rFonts w:ascii="Arial" w:cs="Arial" w:eastAsia="Arial" w:hAnsi="Arial"/>
          <w:sz w:val="18"/>
          <w:szCs w:val="18"/>
          <w:b w:val="1"/>
          <w:bCs w:val="1"/>
          <w:color w:val="auto"/>
        </w:rPr>
        <w:t xml:space="preserve"> </w:t>
      </w:r>
      <w:r>
        <w:rPr>
          <w:rFonts w:ascii="Arial" w:cs="Arial" w:eastAsia="Arial" w:hAnsi="Arial"/>
          <w:sz w:val="18"/>
          <w:szCs w:val="18"/>
          <w:color w:val="auto"/>
        </w:rPr>
        <w:t>anti-drug antibody production and would limit efficacy of the treatment.</w:t>
      </w:r>
    </w:p>
    <w:p>
      <w:pPr>
        <w:spacing w:after="0" w:line="67" w:lineRule="exact"/>
        <w:rPr>
          <w:rFonts w:ascii="Arial" w:cs="Arial" w:eastAsia="Arial" w:hAnsi="Arial"/>
          <w:sz w:val="18"/>
          <w:szCs w:val="18"/>
          <w:color w:val="auto"/>
        </w:rPr>
      </w:pPr>
    </w:p>
    <w:p>
      <w:pPr>
        <w:ind w:left="640" w:hanging="328"/>
        <w:spacing w:after="0" w:line="266" w:lineRule="auto"/>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mRNA encoding therapeutic proteins are formulated into LNPs using in-licensed clinically-validated LNP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owned by Genevant. The mRNA-loaded LNPs are less than 100nm in size. When injected intravenously, these particles are selectively taken up by hepatocytes, the major cell component of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140970</wp:posOffset>
            </wp:positionV>
            <wp:extent cx="5093970" cy="3721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93970"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Our mRNA-based protein replacement technology. </w:t>
      </w:r>
      <w:r>
        <w:rPr>
          <w:rFonts w:ascii="Arial" w:cs="Arial" w:eastAsia="Arial" w:hAnsi="Arial"/>
          <w:sz w:val="14"/>
          <w:szCs w:val="14"/>
          <w:color w:val="auto"/>
        </w:rPr>
        <w:t>The illustration above depicts our mRNA-based protein replacement process for the treatment of rare diseases.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protein replacement technology is designed for the treatment of:</w:t>
      </w:r>
    </w:p>
    <w:p>
      <w:pPr>
        <w:spacing w:after="0" w:line="131" w:lineRule="exact"/>
        <w:rPr>
          <w:sz w:val="20"/>
          <w:szCs w:val="20"/>
          <w:color w:val="auto"/>
        </w:rPr>
      </w:pPr>
    </w:p>
    <w:p>
      <w:pPr>
        <w:ind w:left="1180" w:hanging="436"/>
        <w:spacing w:after="0"/>
        <w:tabs>
          <w:tab w:leader="none" w:pos="11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Genetic disorders that manifest due to a missing or defective protein, where mRNA would need to be administered regularly for a lifetime.</w:t>
      </w:r>
    </w:p>
    <w:p>
      <w:pPr>
        <w:spacing w:after="0" w:line="153"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Acute diseases caused by transient depletion of a protein, such as a hormone, where treatment of such diseases with a single or a few doses of the encoding mRNA could be curative.</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Therapeutic proteins encoded by the mRNA can either act intracellularly or be secreted and act extracellularly, in order to produce the desired therapeutic effect.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80"/>
          </w:cols>
          <w:pgMar w:left="240" w:top="460"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mRNA-based protein replacement technology has several advantages over recombinant proteins:</w:t>
      </w:r>
    </w:p>
    <w:p>
      <w:pPr>
        <w:spacing w:after="0" w:line="127" w:lineRule="exact"/>
        <w:rPr>
          <w:sz w:val="20"/>
          <w:szCs w:val="20"/>
          <w:color w:val="auto"/>
        </w:rPr>
      </w:pPr>
    </w:p>
    <w:p>
      <w:pPr>
        <w:ind w:left="1180" w:right="100" w:hanging="436"/>
        <w:spacing w:after="0" w:line="289" w:lineRule="auto"/>
        <w:tabs>
          <w:tab w:leader="none" w:pos="1180" w:val="left"/>
        </w:tabs>
        <w:numPr>
          <w:ilvl w:val="0"/>
          <w:numId w:val="158"/>
        </w:numPr>
        <w:rPr>
          <w:rFonts w:ascii="Arial" w:cs="Arial" w:eastAsia="Arial" w:hAnsi="Arial"/>
          <w:sz w:val="17"/>
          <w:szCs w:val="17"/>
          <w:color w:val="auto"/>
        </w:rPr>
      </w:pPr>
      <w:r>
        <w:rPr>
          <w:rFonts w:ascii="Arial" w:cs="Arial" w:eastAsia="Arial" w:hAnsi="Arial"/>
          <w:sz w:val="17"/>
          <w:szCs w:val="17"/>
          <w:b w:val="1"/>
          <w:bCs w:val="1"/>
          <w:color w:val="auto"/>
        </w:rPr>
        <w:t xml:space="preserve">No need to develop a procedure for protein purification. </w:t>
      </w:r>
      <w:r>
        <w:rPr>
          <w:rFonts w:ascii="Arial" w:cs="Arial" w:eastAsia="Arial" w:hAnsi="Arial"/>
          <w:sz w:val="17"/>
          <w:szCs w:val="17"/>
          <w:color w:val="auto"/>
        </w:rPr>
        <w:t>The development of recombinant proteins is a laborious and expensive</w:t>
      </w:r>
      <w:r>
        <w:rPr>
          <w:rFonts w:ascii="Arial" w:cs="Arial" w:eastAsia="Arial" w:hAnsi="Arial"/>
          <w:sz w:val="17"/>
          <w:szCs w:val="17"/>
          <w:b w:val="1"/>
          <w:bCs w:val="1"/>
          <w:color w:val="auto"/>
        </w:rPr>
        <w:t xml:space="preserve"> </w:t>
      </w:r>
      <w:r>
        <w:rPr>
          <w:rFonts w:ascii="Arial" w:cs="Arial" w:eastAsia="Arial" w:hAnsi="Arial"/>
          <w:sz w:val="17"/>
          <w:szCs w:val="17"/>
          <w:color w:val="auto"/>
        </w:rPr>
        <w:t>procedure due to the requirement for a unique purification protocol for each protein. During mRNA-based protein replacement the protein is produced by the patient, which we believe avoids the need for purification and also accelerates drug development.</w:t>
      </w:r>
    </w:p>
    <w:p>
      <w:pPr>
        <w:spacing w:after="0" w:line="63" w:lineRule="exact"/>
        <w:rPr>
          <w:rFonts w:ascii="Arial" w:cs="Arial" w:eastAsia="Arial" w:hAnsi="Arial"/>
          <w:sz w:val="17"/>
          <w:szCs w:val="17"/>
          <w:color w:val="auto"/>
        </w:rPr>
      </w:pPr>
    </w:p>
    <w:p>
      <w:pPr>
        <w:ind w:left="1180" w:right="420" w:hanging="436"/>
        <w:spacing w:after="0" w:line="266" w:lineRule="auto"/>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The protein has proper post-translational modification. </w:t>
      </w:r>
      <w:r>
        <w:rPr>
          <w:rFonts w:ascii="Arial" w:cs="Arial" w:eastAsia="Arial" w:hAnsi="Arial"/>
          <w:sz w:val="18"/>
          <w:szCs w:val="18"/>
          <w:color w:val="auto"/>
        </w:rPr>
        <w:t>To function properly, most recombinant proteins need to be modified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synthesis. Proteins produced in patients from mRNA are more likely to obtain the correct modifications than recombinant proteins produced in cultured bacterial or mammalian cells.</w:t>
      </w:r>
    </w:p>
    <w:p>
      <w:pPr>
        <w:spacing w:after="0" w:line="81" w:lineRule="exact"/>
        <w:rPr>
          <w:rFonts w:ascii="Arial" w:cs="Arial" w:eastAsia="Arial" w:hAnsi="Arial"/>
          <w:sz w:val="18"/>
          <w:szCs w:val="18"/>
          <w:color w:val="auto"/>
        </w:rPr>
      </w:pPr>
    </w:p>
    <w:p>
      <w:pPr>
        <w:ind w:left="1180" w:hanging="436"/>
        <w:spacing w:after="0" w:line="266" w:lineRule="auto"/>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Continuous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supply of encoded protein. </w:t>
      </w:r>
      <w:r>
        <w:rPr>
          <w:rFonts w:ascii="Arial" w:cs="Arial" w:eastAsia="Arial" w:hAnsi="Arial"/>
          <w:sz w:val="18"/>
          <w:szCs w:val="18"/>
          <w:color w:val="auto"/>
        </w:rPr>
        <w:t>Recombinant proteins, especially those with short half-lives, can be cleared from the body</w:t>
      </w:r>
      <w:r>
        <w:rPr>
          <w:rFonts w:ascii="Arial" w:cs="Arial" w:eastAsia="Arial" w:hAnsi="Arial"/>
          <w:sz w:val="18"/>
          <w:szCs w:val="18"/>
          <w:b w:val="1"/>
          <w:bCs w:val="1"/>
          <w:color w:val="auto"/>
        </w:rPr>
        <w:t xml:space="preserve"> </w:t>
      </w:r>
      <w:r>
        <w:rPr>
          <w:rFonts w:ascii="Arial" w:cs="Arial" w:eastAsia="Arial" w:hAnsi="Arial"/>
          <w:sz w:val="18"/>
          <w:szCs w:val="18"/>
          <w:color w:val="auto"/>
        </w:rPr>
        <w:t>very quickly, thereby limiting therapeutic effect. During mRNA-based therapy, the encoded therapeutic protein is produced for a longer duration (</w:t>
      </w:r>
      <w:r>
        <w:rPr>
          <w:rFonts w:ascii="Arial" w:cs="Arial" w:eastAsia="Arial" w:hAnsi="Arial"/>
          <w:sz w:val="18"/>
          <w:szCs w:val="18"/>
          <w:i w:val="1"/>
          <w:iCs w:val="1"/>
          <w:color w:val="auto"/>
        </w:rPr>
        <w:t>e.g</w:t>
      </w:r>
      <w:r>
        <w:rPr>
          <w:rFonts w:ascii="Arial" w:cs="Arial" w:eastAsia="Arial" w:hAnsi="Arial"/>
          <w:sz w:val="18"/>
          <w:szCs w:val="18"/>
          <w:color w:val="auto"/>
        </w:rPr>
        <w:t>., 10-14 days).</w:t>
      </w:r>
    </w:p>
    <w:p>
      <w:pPr>
        <w:spacing w:after="0" w:line="81" w:lineRule="exact"/>
        <w:rPr>
          <w:rFonts w:ascii="Arial" w:cs="Arial" w:eastAsia="Arial" w:hAnsi="Arial"/>
          <w:sz w:val="18"/>
          <w:szCs w:val="18"/>
          <w:color w:val="auto"/>
        </w:rPr>
      </w:pPr>
    </w:p>
    <w:p>
      <w:pPr>
        <w:ind w:left="1180" w:right="20" w:hanging="436"/>
        <w:spacing w:after="0" w:line="266" w:lineRule="auto"/>
        <w:tabs>
          <w:tab w:leader="none" w:pos="118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Production of intracellular proteins. </w:t>
      </w:r>
      <w:r>
        <w:rPr>
          <w:rFonts w:ascii="Arial" w:cs="Arial" w:eastAsia="Arial" w:hAnsi="Arial"/>
          <w:sz w:val="18"/>
          <w:szCs w:val="18"/>
          <w:color w:val="auto"/>
        </w:rPr>
        <w:t>Recombinant proteins have limited intracellular therapeutic effects. In contrast, proteins encoded by</w:t>
      </w:r>
      <w:r>
        <w:rPr>
          <w:rFonts w:ascii="Arial" w:cs="Arial" w:eastAsia="Arial" w:hAnsi="Arial"/>
          <w:sz w:val="18"/>
          <w:szCs w:val="18"/>
          <w:b w:val="1"/>
          <w:bCs w:val="1"/>
          <w:color w:val="auto"/>
        </w:rPr>
        <w:t xml:space="preserve"> </w:t>
      </w:r>
      <w:r>
        <w:rPr>
          <w:rFonts w:ascii="Arial" w:cs="Arial" w:eastAsia="Arial" w:hAnsi="Arial"/>
          <w:sz w:val="18"/>
          <w:szCs w:val="18"/>
          <w:color w:val="auto"/>
        </w:rPr>
        <w:t>mRNA can reach any cellular compartment and potentially help to cure diseases where the therapeutic protein needs to function in different subcellular locations, including the mitochondria, nucleus or cell membrane.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Protein Replacement Development Plan in Rare Diseases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our first rare disease clinical trial in the second half of 2020.</w:t>
      </w:r>
    </w:p>
    <w:p>
      <w:pPr>
        <w:spacing w:after="0" w:line="374" w:lineRule="exact"/>
        <w:rPr>
          <w:sz w:val="20"/>
          <w:szCs w:val="20"/>
          <w:color w:val="auto"/>
        </w:rPr>
      </w:pPr>
    </w:p>
    <w:p>
      <w:pPr>
        <w:ind w:left="1620" w:hanging="430"/>
        <w:spacing w:after="0"/>
        <w:tabs>
          <w:tab w:leader="none" w:pos="1620" w:val="left"/>
        </w:tabs>
        <w:numPr>
          <w:ilvl w:val="0"/>
          <w:numId w:val="1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543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7700" cy="15436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740" w:hanging="320"/>
        <w:spacing w:after="0"/>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Antibodies encoded by mRNA and produced in the patient as an alternative to recombinant antibodies.</w:t>
      </w:r>
    </w:p>
    <w:p>
      <w:pPr>
        <w:spacing w:after="0" w:line="130" w:lineRule="exact"/>
        <w:rPr>
          <w:rFonts w:ascii="Arial" w:cs="Arial" w:eastAsia="Arial" w:hAnsi="Arial"/>
          <w:sz w:val="18"/>
          <w:szCs w:val="18"/>
          <w:color w:val="auto"/>
        </w:rPr>
      </w:pPr>
    </w:p>
    <w:p>
      <w:pPr>
        <w:ind w:left="740" w:right="20" w:hanging="320"/>
        <w:spacing w:after="0" w:line="282"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antibodies to occur within the cells.</w:t>
      </w:r>
    </w:p>
    <w:p>
      <w:pPr>
        <w:spacing w:after="0" w:line="67" w:lineRule="exact"/>
        <w:rPr>
          <w:rFonts w:ascii="Arial" w:cs="Arial" w:eastAsia="Arial" w:hAnsi="Arial"/>
          <w:sz w:val="18"/>
          <w:szCs w:val="18"/>
          <w:color w:val="auto"/>
        </w:rPr>
      </w:pPr>
    </w:p>
    <w:p>
      <w:pPr>
        <w:ind w:left="740" w:right="20" w:hanging="320"/>
        <w:spacing w:after="0" w:line="282" w:lineRule="auto"/>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antibody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BNT141 in multiple solid tumors.</w:t>
      </w:r>
    </w:p>
    <w:p>
      <w:pPr>
        <w:spacing w:after="0" w:line="283"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 xml:space="preserve">Our RiboMab product candidates are designed to encode secreted antibodies for expression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by the patient’s cells. We believe our RiboMab technology represents the next generation of antibody-based drugs. Antibody drugs are a leading class of biologics for the treatment of various diseases, but have a number of limitations. The development of antibodies is currently challenged by demanding and costly procedures of production, purification and formulation of a recombinant protein, which we believe hampers the rapid development and clinical testing of new drugs in this class. Recombinant protein antibodies require development of a cell line, establishment and adaptation of processes for production, purification and analytical testing. The whole process typically takes 18 to 30 months to optimize, scale-up and produce first clinical batches. Some of these antibodies are produced in low yields making them unsuitable for therapeutic application.</w:t>
      </w:r>
    </w:p>
    <w:p>
      <w:pPr>
        <w:spacing w:after="0" w:line="17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By contrast, mRNA not only involves a simpler and less expensive manufacturing process, but also is effective in much lower volumes than are required to produce similar effects using recombinant proteins. RiboMabs provide an antibody’s mRNA sequence, and the body does the production work itself. This simplicity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12" w:lineRule="auto"/>
        <w:rPr>
          <w:sz w:val="20"/>
          <w:szCs w:val="20"/>
          <w:color w:val="auto"/>
        </w:rPr>
      </w:pPr>
      <w:r>
        <w:rPr>
          <w:rFonts w:ascii="Arial" w:cs="Arial" w:eastAsia="Arial" w:hAnsi="Arial"/>
          <w:sz w:val="16"/>
          <w:szCs w:val="16"/>
          <w:color w:val="auto"/>
        </w:rPr>
        <w:t>is designed to allow for both shorter development times and a greater diversity of druggable targets. For efficient RiboMab production, the encoding mRNA is encapsulated in LNPs that deliver the mRNA to the liver cells. For cancer treatment, we focus on tumor-associated antigens to keep adverse effects for the patients as low as possible. We believe we can integrate any antibody sequence in our RiboMab-encoding mRNA.</w:t>
      </w:r>
    </w:p>
    <w:p>
      <w:pPr>
        <w:spacing w:after="0" w:line="147"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have demonstrated the feasibility of our RiboMab technology for a variety of antibody formats, such as full immunoglobulins (Ig), primarily IgG, or different bispecific antibody variants, all of which engage the patient’s own immune cells to eradicate antigen-positive tumor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104775</wp:posOffset>
            </wp:positionV>
            <wp:extent cx="5257165" cy="37477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57165" cy="374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line="232" w:lineRule="auto"/>
        <w:rPr>
          <w:sz w:val="20"/>
          <w:szCs w:val="20"/>
          <w:color w:val="auto"/>
        </w:rPr>
      </w:pPr>
      <w:r>
        <w:rPr>
          <w:rFonts w:ascii="Arial" w:cs="Arial" w:eastAsia="Arial" w:hAnsi="Arial"/>
          <w:sz w:val="14"/>
          <w:szCs w:val="14"/>
          <w:b w:val="1"/>
          <w:bCs w:val="1"/>
          <w:color w:val="auto"/>
        </w:rPr>
        <w:t xml:space="preserve">Our RiboMab technology. </w:t>
      </w:r>
      <w:r>
        <w:rPr>
          <w:rFonts w:ascii="Arial" w:cs="Arial" w:eastAsia="Arial" w:hAnsi="Arial"/>
          <w:sz w:val="14"/>
          <w:szCs w:val="14"/>
          <w:color w:val="auto"/>
        </w:rPr>
        <w:t>The figure above depicts the structure of</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in vitro</w:t>
      </w:r>
      <w:r>
        <w:rPr>
          <w:rFonts w:ascii="Arial" w:cs="Arial" w:eastAsia="Arial" w:hAnsi="Arial"/>
          <w:sz w:val="14"/>
          <w:szCs w:val="14"/>
          <w:b w:val="1"/>
          <w:bCs w:val="1"/>
          <w:color w:val="auto"/>
        </w:rPr>
        <w:t xml:space="preserve"> </w:t>
      </w:r>
      <w:r>
        <w:rPr>
          <w:rFonts w:ascii="Arial" w:cs="Arial" w:eastAsia="Arial" w:hAnsi="Arial"/>
          <w:sz w:val="14"/>
          <w:szCs w:val="14"/>
          <w:color w:val="auto"/>
        </w:rPr>
        <w:t>transcribed (IVT) IgG and bi-(scFv)2 RiboMabs. IVT-mRNA encoding the therapeutic antibody is encapsulated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 LNPs and injected intravenously into patients. The mRNA is delivered to the liver where it is translated into antibodies and secreted into the blood stream. Abbreviations: A100, poly adenosine tail; bi-(scFv)2, bispecific single chain variable fragment; C, C-terminus; CH, constant heavy domain; CL, constant light domain; IgG, immunoglobulin G; IVT,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transcribed; L, linker; LNP, lipid nanoparticles; m1y, 1-methylpseudouridine; N, N-terminus; TAA, tumor-associated antigen; VH, variable heavy domain; VL, variable light domain; UTR, untranslated region.</w:t>
      </w:r>
    </w:p>
    <w:p>
      <w:pPr>
        <w:spacing w:after="0" w:line="18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believe our broad portfolio of antibody formats will enable us to produce mRNAs encoding the appropriate antibody format for the individual patient’s medical need and the desired treatment regimen (</w:t>
      </w:r>
      <w:r>
        <w:rPr>
          <w:rFonts w:ascii="Arial" w:cs="Arial" w:eastAsia="Arial" w:hAnsi="Arial"/>
          <w:sz w:val="18"/>
          <w:szCs w:val="18"/>
          <w:i w:val="1"/>
          <w:iCs w:val="1"/>
          <w:color w:val="auto"/>
        </w:rPr>
        <w:t>e.g.,</w:t>
      </w:r>
      <w:r>
        <w:rPr>
          <w:rFonts w:ascii="Arial" w:cs="Arial" w:eastAsia="Arial" w:hAnsi="Arial"/>
          <w:sz w:val="18"/>
          <w:szCs w:val="18"/>
          <w:color w:val="auto"/>
        </w:rPr>
        <w:t xml:space="preserve"> monotherapy or combination therapy).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RiboMab Development Plan</w:t>
      </w:r>
    </w:p>
    <w:p>
      <w:pPr>
        <w:spacing w:after="0" w:line="117"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Our first development candidate, BNT141, is an IgG antibody, which we expect to enter the clinic in the second half of 2020 in a basket trial targeting multiple solid tumor types. We are also currently evaluating multiple additional RiboMab development candidates in the preclinical setting, including RiboMabs encoding bispecific antibodies, one of which, BNT142, we expect to enter the clinic in the second half of 2020.</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7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23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16"/>
                <w:szCs w:val="16"/>
                <w:color w:val="auto"/>
              </w:rPr>
            </w:pPr>
          </w:p>
        </w:tc>
        <w:tc>
          <w:tcPr>
            <w:tcW w:w="23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308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20" w:type="dxa"/>
            <w:vAlign w:val="bottom"/>
          </w:tcPr>
          <w:p>
            <w:pPr>
              <w:spacing w:after="0"/>
              <w:rPr>
                <w:sz w:val="16"/>
                <w:szCs w:val="16"/>
                <w:color w:val="auto"/>
              </w:rPr>
            </w:pPr>
          </w:p>
        </w:tc>
        <w:tc>
          <w:tcPr>
            <w:tcW w:w="2740" w:type="dxa"/>
            <w:vAlign w:val="bottom"/>
          </w:tcPr>
          <w:p>
            <w:pPr>
              <w:spacing w:after="0" w:line="195" w:lineRule="exact"/>
              <w:rPr>
                <w:sz w:val="20"/>
                <w:szCs w:val="20"/>
                <w:color w:val="auto"/>
              </w:rPr>
            </w:pPr>
            <w:r>
              <w:rPr>
                <w:rFonts w:ascii="Arial" w:cs="Arial" w:eastAsia="Arial" w:hAnsi="Arial"/>
                <w:sz w:val="18"/>
                <w:szCs w:val="18"/>
                <w:color w:val="auto"/>
              </w:rPr>
              <w:t>BNT141 (monospecific)</w:t>
            </w:r>
          </w:p>
        </w:tc>
        <w:tc>
          <w:tcPr>
            <w:tcW w:w="220" w:type="dxa"/>
            <w:vAlign w:val="bottom"/>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Undisclosed</w:t>
            </w:r>
          </w:p>
        </w:tc>
        <w:tc>
          <w:tcPr>
            <w:tcW w:w="200" w:type="dxa"/>
            <w:vAlign w:val="bottom"/>
          </w:tcPr>
          <w:p>
            <w:pPr>
              <w:spacing w:after="0"/>
              <w:rPr>
                <w:sz w:val="16"/>
                <w:szCs w:val="16"/>
                <w:color w:val="auto"/>
              </w:rPr>
            </w:pPr>
          </w:p>
        </w:tc>
        <w:tc>
          <w:tcPr>
            <w:tcW w:w="2320" w:type="dxa"/>
            <w:vAlign w:val="bottom"/>
          </w:tcPr>
          <w:p>
            <w:pPr>
              <w:spacing w:after="0" w:line="195" w:lineRule="exact"/>
              <w:rPr>
                <w:sz w:val="20"/>
                <w:szCs w:val="20"/>
                <w:color w:val="auto"/>
              </w:rPr>
            </w:pPr>
            <w:r>
              <w:rPr>
                <w:rFonts w:ascii="Arial" w:cs="Arial" w:eastAsia="Arial" w:hAnsi="Arial"/>
                <w:sz w:val="18"/>
                <w:szCs w:val="18"/>
                <w:color w:val="auto"/>
              </w:rPr>
              <w:t>Preclinical</w:t>
            </w:r>
          </w:p>
        </w:tc>
        <w:tc>
          <w:tcPr>
            <w:tcW w:w="140" w:type="dxa"/>
            <w:vAlign w:val="bottom"/>
          </w:tcPr>
          <w:p>
            <w:pPr>
              <w:spacing w:after="0"/>
              <w:rPr>
                <w:sz w:val="16"/>
                <w:szCs w:val="16"/>
                <w:color w:val="auto"/>
              </w:rPr>
            </w:pPr>
          </w:p>
        </w:tc>
        <w:tc>
          <w:tcPr>
            <w:tcW w:w="3080" w:type="dxa"/>
            <w:vAlign w:val="bottom"/>
          </w:tcPr>
          <w:p>
            <w:pPr>
              <w:jc w:val="right"/>
              <w:ind w:right="719"/>
              <w:spacing w:after="0" w:line="195" w:lineRule="exact"/>
              <w:rPr>
                <w:sz w:val="20"/>
                <w:szCs w:val="20"/>
                <w:color w:val="auto"/>
              </w:rPr>
            </w:pPr>
            <w:r>
              <w:rPr>
                <w:rFonts w:ascii="Arial" w:cs="Arial" w:eastAsia="Arial" w:hAnsi="Arial"/>
                <w:sz w:val="18"/>
                <w:szCs w:val="18"/>
                <w:color w:val="auto"/>
                <w:w w:val="90"/>
              </w:rPr>
              <w:t>Initiate Phase 1 trial in 2H 2020</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BNT142 (bispecific)</w:t>
            </w:r>
          </w:p>
        </w:tc>
        <w:tc>
          <w:tcPr>
            <w:tcW w:w="2540" w:type="dxa"/>
            <w:vAlign w:val="bottom"/>
            <w:gridSpan w:val="2"/>
          </w:tcPr>
          <w:p>
            <w:pPr>
              <w:ind w:left="220"/>
              <w:spacing w:after="0"/>
              <w:rPr>
                <w:sz w:val="20"/>
                <w:szCs w:val="20"/>
                <w:color w:val="auto"/>
              </w:rPr>
            </w:pPr>
            <w:r>
              <w:rPr>
                <w:rFonts w:ascii="Arial" w:cs="Arial" w:eastAsia="Arial" w:hAnsi="Arial"/>
                <w:sz w:val="18"/>
                <w:szCs w:val="18"/>
                <w:color w:val="auto"/>
              </w:rPr>
              <w:t>CD3xCLDN6</w:t>
            </w: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Preclinical</w:t>
            </w:r>
          </w:p>
        </w:tc>
        <w:tc>
          <w:tcPr>
            <w:tcW w:w="3220" w:type="dxa"/>
            <w:vAlign w:val="bottom"/>
            <w:gridSpan w:val="2"/>
          </w:tcPr>
          <w:p>
            <w:pPr>
              <w:jc w:val="right"/>
              <w:ind w:right="719"/>
              <w:spacing w:after="0"/>
              <w:rPr>
                <w:sz w:val="20"/>
                <w:szCs w:val="20"/>
                <w:color w:val="auto"/>
              </w:rPr>
            </w:pPr>
            <w:r>
              <w:rPr>
                <w:rFonts w:ascii="Arial" w:cs="Arial" w:eastAsia="Arial" w:hAnsi="Arial"/>
                <w:sz w:val="18"/>
                <w:szCs w:val="18"/>
                <w:color w:val="auto"/>
                <w:w w:val="95"/>
              </w:rPr>
              <w:t>Initiate Phase 1 trial in 2H 2020</w:t>
            </w:r>
          </w:p>
        </w:tc>
      </w:tr>
    </w:tbl>
    <w:p>
      <w:pPr>
        <w:spacing w:after="0" w:line="350" w:lineRule="exact"/>
        <w:rPr>
          <w:sz w:val="20"/>
          <w:szCs w:val="20"/>
          <w:color w:val="auto"/>
        </w:rPr>
      </w:pPr>
    </w:p>
    <w:p>
      <w:pPr>
        <w:ind w:left="1620" w:hanging="430"/>
        <w:spacing w:after="0"/>
        <w:tabs>
          <w:tab w:leader="none" w:pos="162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15436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7700" cy="1543685"/>
                    </a:xfrm>
                    <a:prstGeom prst="rect">
                      <a:avLst/>
                    </a:prstGeom>
                    <a:noFill/>
                  </pic:spPr>
                </pic:pic>
              </a:graphicData>
            </a:graphic>
          </wp:anchor>
        </w:drawing>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RiboCytokine Platform</w:t>
      </w:r>
    </w:p>
    <w:p>
      <w:pPr>
        <w:spacing w:after="0" w:line="127" w:lineRule="exact"/>
        <w:rPr>
          <w:sz w:val="20"/>
          <w:szCs w:val="20"/>
          <w:color w:val="auto"/>
        </w:rPr>
      </w:pPr>
    </w:p>
    <w:p>
      <w:pPr>
        <w:ind w:left="740" w:hanging="320"/>
        <w:spacing w:after="0"/>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Cytokines encoded by mRNA and produced in the patient as an alternative to recombinant cytokines.</w:t>
      </w:r>
    </w:p>
    <w:p>
      <w:pPr>
        <w:spacing w:after="0" w:line="130" w:lineRule="exact"/>
        <w:rPr>
          <w:rFonts w:ascii="Arial" w:cs="Arial" w:eastAsia="Arial" w:hAnsi="Arial"/>
          <w:sz w:val="18"/>
          <w:szCs w:val="18"/>
          <w:color w:val="auto"/>
        </w:rPr>
      </w:pPr>
    </w:p>
    <w:p>
      <w:pPr>
        <w:ind w:left="740" w:right="40" w:hanging="320"/>
        <w:spacing w:after="0" w:line="282"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mRNA Format: </w:t>
      </w:r>
      <w:r>
        <w:rPr>
          <w:rFonts w:ascii="Arial" w:cs="Arial" w:eastAsia="Arial" w:hAnsi="Arial"/>
          <w:sz w:val="18"/>
          <w:szCs w:val="18"/>
          <w:color w:val="auto"/>
        </w:rPr>
        <w:t>Nucleoside-modified mRNA engineered for minimal immunogenicity in order to avoid immune detection and allow translation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encoded cytokines to occur within the cells.</w:t>
      </w:r>
    </w:p>
    <w:p>
      <w:pPr>
        <w:spacing w:after="0" w:line="67" w:lineRule="exact"/>
        <w:rPr>
          <w:rFonts w:ascii="Arial" w:cs="Arial" w:eastAsia="Arial" w:hAnsi="Arial"/>
          <w:sz w:val="18"/>
          <w:szCs w:val="18"/>
          <w:color w:val="auto"/>
        </w:rPr>
      </w:pPr>
    </w:p>
    <w:p>
      <w:pPr>
        <w:ind w:left="740" w:right="40" w:hanging="320"/>
        <w:spacing w:after="0" w:line="282"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Formulation: </w:t>
      </w:r>
      <w:r>
        <w:rPr>
          <w:rFonts w:ascii="Arial" w:cs="Arial" w:eastAsia="Arial" w:hAnsi="Arial"/>
          <w:sz w:val="18"/>
          <w:szCs w:val="18"/>
          <w:color w:val="auto"/>
        </w:rPr>
        <w:t>Various liver-targeting LNP formulations, delivered intravenously, to ensure systemic availability and prolonged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production of the cytokine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BNT151 in multiple advanced malignancies.</w:t>
      </w:r>
    </w:p>
    <w:p>
      <w:pPr>
        <w:spacing w:after="0" w:line="28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 xml:space="preserve">Our RiboCytokine product candidates utilize mRNA that encodes the desired cytokines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Cytokines represent a large group of relatively small proteins (&lt;30 kDa) that regulate a variety of biological functions as they elicit signaling for immune and non-immune cells. In particular, cytokines play a pivotal role in orchestrating the initiation, execution and extinction of innate and adaptive immunity against pathogens as well as malignant cells. Due to their natural role as immunomodulators, recombinant cytokines are currently used for the treatment of a number of infectious, inflammatory, autoimmune and malignant diseases. One of the major challenges associated with the therapeutic use of cytokines relates to their short serum half-life and low bioavailability. This impedes therapeutic efficacy as it necessitates high and frequent dosing, which often results in dose-limiting toxicities.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240" w:top="460" w:right="4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have developed a wholly-owned, novel mRNA-based platform technology called RiboCytokines, designed to address the limitations of recombinantly expressed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134620</wp:posOffset>
            </wp:positionV>
            <wp:extent cx="5222875" cy="3456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2287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line="259" w:lineRule="auto"/>
        <w:rPr>
          <w:sz w:val="20"/>
          <w:szCs w:val="20"/>
          <w:color w:val="auto"/>
        </w:rPr>
      </w:pPr>
      <w:r>
        <w:rPr>
          <w:rFonts w:ascii="Arial" w:cs="Arial" w:eastAsia="Arial" w:hAnsi="Arial"/>
          <w:sz w:val="14"/>
          <w:szCs w:val="14"/>
          <w:b w:val="1"/>
          <w:bCs w:val="1"/>
          <w:color w:val="auto"/>
        </w:rPr>
        <w:t xml:space="preserve">Concept of our RiboCytokine technology. </w:t>
      </w:r>
      <w:r>
        <w:rPr>
          <w:rFonts w:ascii="Arial" w:cs="Arial" w:eastAsia="Arial" w:hAnsi="Arial"/>
          <w:sz w:val="14"/>
          <w:szCs w:val="14"/>
          <w:color w:val="auto"/>
        </w:rPr>
        <w:t>The graphic above depicts our RiboCytokine technology, including mRNA formulated in LNPs and administered by injection, having a beneficial</w:t>
      </w:r>
      <w:r>
        <w:rPr>
          <w:rFonts w:ascii="Arial" w:cs="Arial" w:eastAsia="Arial" w:hAnsi="Arial"/>
          <w:sz w:val="14"/>
          <w:szCs w:val="14"/>
          <w:b w:val="1"/>
          <w:bCs w:val="1"/>
          <w:color w:val="auto"/>
        </w:rPr>
        <w:t xml:space="preserve"> </w:t>
      </w:r>
      <w:r>
        <w:rPr>
          <w:rFonts w:ascii="Arial" w:cs="Arial" w:eastAsia="Arial" w:hAnsi="Arial"/>
          <w:sz w:val="14"/>
          <w:szCs w:val="14"/>
          <w:color w:val="auto"/>
        </w:rPr>
        <w:t>pharmacokinetic profile.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RiboCytokine platform allows for sustained delivery of the encoded cytokines with prolonged half-life, including through:</w:t>
      </w:r>
    </w:p>
    <w:p>
      <w:pPr>
        <w:spacing w:after="0" w:line="127" w:lineRule="exact"/>
        <w:rPr>
          <w:sz w:val="20"/>
          <w:szCs w:val="20"/>
          <w:color w:val="auto"/>
        </w:rPr>
      </w:pPr>
    </w:p>
    <w:p>
      <w:pPr>
        <w:ind w:left="1180" w:right="380" w:hanging="436"/>
        <w:spacing w:after="0" w:line="282" w:lineRule="auto"/>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Usage of N1-methylpseudouridine modified mRNA. </w:t>
      </w:r>
      <w:r>
        <w:rPr>
          <w:rFonts w:ascii="Arial" w:cs="Arial" w:eastAsia="Arial" w:hAnsi="Arial"/>
          <w:sz w:val="18"/>
          <w:szCs w:val="18"/>
          <w:color w:val="auto"/>
        </w:rPr>
        <w:t>N1-methylpseudouridine as a nucleoside analogue prevents the recognition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mRNA by TLRs, avoiding immune attack against the RiboCytokines.</w:t>
      </w:r>
    </w:p>
    <w:p>
      <w:pPr>
        <w:spacing w:after="0" w:line="67" w:lineRule="exact"/>
        <w:rPr>
          <w:rFonts w:ascii="Arial" w:cs="Arial" w:eastAsia="Arial" w:hAnsi="Arial"/>
          <w:sz w:val="18"/>
          <w:szCs w:val="18"/>
          <w:color w:val="auto"/>
        </w:rPr>
      </w:pPr>
    </w:p>
    <w:p>
      <w:pPr>
        <w:ind w:left="1180" w:right="80" w:hanging="436"/>
        <w:spacing w:after="0" w:line="282" w:lineRule="auto"/>
        <w:tabs>
          <w:tab w:leader="none" w:pos="118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Liver targeted expression. </w:t>
      </w:r>
      <w:r>
        <w:rPr>
          <w:rFonts w:ascii="Arial" w:cs="Arial" w:eastAsia="Arial" w:hAnsi="Arial"/>
          <w:sz w:val="18"/>
          <w:szCs w:val="18"/>
          <w:color w:val="auto"/>
        </w:rPr>
        <w:t>RiboCytokines are formulated using clinically validated LNP delivery technology owned by Genevant. LNPs</w:t>
      </w:r>
      <w:r>
        <w:rPr>
          <w:rFonts w:ascii="Arial" w:cs="Arial" w:eastAsia="Arial" w:hAnsi="Arial"/>
          <w:sz w:val="18"/>
          <w:szCs w:val="18"/>
          <w:b w:val="1"/>
          <w:bCs w:val="1"/>
          <w:color w:val="auto"/>
        </w:rPr>
        <w:t xml:space="preserve"> </w:t>
      </w:r>
      <w:r>
        <w:rPr>
          <w:rFonts w:ascii="Arial" w:cs="Arial" w:eastAsia="Arial" w:hAnsi="Arial"/>
          <w:sz w:val="18"/>
          <w:szCs w:val="18"/>
          <w:color w:val="auto"/>
        </w:rPr>
        <w:t>selectively target the liver resulting in high-level expression.</w:t>
      </w:r>
    </w:p>
    <w:p>
      <w:pPr>
        <w:spacing w:after="0" w:line="166"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We believe that apart from a beneficial pharmacokinetic profile, our mRNA-based RiboCytokine technology has a number of additional advantages over other types of cytokine therapies:</w:t>
      </w:r>
    </w:p>
    <w:p>
      <w:pPr>
        <w:spacing w:after="0" w:line="72" w:lineRule="exact"/>
        <w:rPr>
          <w:sz w:val="20"/>
          <w:szCs w:val="20"/>
          <w:color w:val="auto"/>
        </w:rPr>
      </w:pPr>
    </w:p>
    <w:p>
      <w:pPr>
        <w:ind w:left="1180" w:right="20" w:hanging="436"/>
        <w:spacing w:after="0" w:line="266" w:lineRule="auto"/>
        <w:tabs>
          <w:tab w:leader="none" w:pos="118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Less immunogenic than recombinant cytokines. </w:t>
      </w:r>
      <w:r>
        <w:rPr>
          <w:rFonts w:ascii="Arial" w:cs="Arial" w:eastAsia="Arial" w:hAnsi="Arial"/>
          <w:sz w:val="18"/>
          <w:szCs w:val="18"/>
          <w:color w:val="auto"/>
        </w:rPr>
        <w:t>Expression of self and foreign antigens in the liver is associated with immune tolerance</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 unique anti-inflammatory microenvironment. We expect RiboCytokines to be less likely to trigger an immune response when compared to their recombinant counterparts.</w:t>
      </w:r>
    </w:p>
    <w:p>
      <w:pPr>
        <w:spacing w:after="0" w:line="81" w:lineRule="exact"/>
        <w:rPr>
          <w:rFonts w:ascii="Arial" w:cs="Arial" w:eastAsia="Arial" w:hAnsi="Arial"/>
          <w:sz w:val="18"/>
          <w:szCs w:val="18"/>
          <w:color w:val="auto"/>
        </w:rPr>
      </w:pPr>
    </w:p>
    <w:p>
      <w:pPr>
        <w:ind w:left="1180" w:right="200" w:hanging="436"/>
        <w:spacing w:after="0" w:line="266" w:lineRule="auto"/>
        <w:tabs>
          <w:tab w:leader="none" w:pos="118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 xml:space="preserve">Shorter development times and greater diversity. </w:t>
      </w:r>
      <w:r>
        <w:rPr>
          <w:rFonts w:ascii="Arial" w:cs="Arial" w:eastAsia="Arial" w:hAnsi="Arial"/>
          <w:sz w:val="18"/>
          <w:szCs w:val="18"/>
          <w:color w:val="auto"/>
        </w:rPr>
        <w:t>The development of recombinant cytokines is a challenge due to demanding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costly CMC procedures of production, purification and formulation. The simplicity of our mRNA manufacturing allows for both shorter development times and a greater diversity of druggable targets.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80"/>
          </w:cols>
          <w:pgMar w:left="24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believe that our RiboCytokine technology is particularly well-suited to identify candidates for combination treatment with our proprietary CAR-T cell and cancer immunotherapies platforms.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RiboCytokine Development Plan</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expect our first two RiboCytokine product candidates, BNT151 and BNT152, to enter the clinic in the first half and second halves of 2020, respectively, in basket trials targeting multiple advanced malignancies.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Candidate</w:t>
            </w:r>
          </w:p>
        </w:tc>
        <w:tc>
          <w:tcPr>
            <w:tcW w:w="1900" w:type="dxa"/>
            <w:vAlign w:val="bottom"/>
          </w:tcPr>
          <w:p>
            <w:pPr>
              <w:spacing w:after="0"/>
              <w:rPr>
                <w:sz w:val="16"/>
                <w:szCs w:val="16"/>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Cytokines</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Development Phase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w w:val="96"/>
              </w:rPr>
              <w:t>BNT151</w:t>
            </w:r>
          </w:p>
        </w:tc>
        <w:tc>
          <w:tcPr>
            <w:tcW w:w="1900" w:type="dxa"/>
            <w:vAlign w:val="bottom"/>
          </w:tcPr>
          <w:p>
            <w:pPr>
              <w:spacing w:after="0"/>
              <w:rPr>
                <w:sz w:val="16"/>
                <w:szCs w:val="16"/>
                <w:color w:val="auto"/>
              </w:rPr>
            </w:pPr>
          </w:p>
        </w:tc>
        <w:tc>
          <w:tcPr>
            <w:tcW w:w="1540" w:type="dxa"/>
            <w:vAlign w:val="bottom"/>
          </w:tcPr>
          <w:p>
            <w:pPr>
              <w:spacing w:after="0" w:line="189" w:lineRule="exact"/>
              <w:rPr>
                <w:sz w:val="20"/>
                <w:szCs w:val="20"/>
                <w:color w:val="auto"/>
              </w:rPr>
            </w:pPr>
            <w:r>
              <w:rPr>
                <w:rFonts w:ascii="Arial" w:cs="Arial" w:eastAsia="Arial" w:hAnsi="Arial"/>
                <w:sz w:val="18"/>
                <w:szCs w:val="18"/>
                <w:color w:val="auto"/>
              </w:rPr>
              <w:t>Optimized IL-2</w:t>
            </w:r>
          </w:p>
        </w:tc>
        <w:tc>
          <w:tcPr>
            <w:tcW w:w="120" w:type="dxa"/>
            <w:vAlign w:val="bottom"/>
          </w:tcPr>
          <w:p>
            <w:pPr>
              <w:spacing w:after="0"/>
              <w:rPr>
                <w:sz w:val="16"/>
                <w:szCs w:val="16"/>
                <w:color w:val="auto"/>
              </w:rPr>
            </w:pPr>
          </w:p>
        </w:tc>
        <w:tc>
          <w:tcPr>
            <w:tcW w:w="1640" w:type="dxa"/>
            <w:vAlign w:val="bottom"/>
          </w:tcPr>
          <w:p>
            <w:pPr>
              <w:jc w:val="right"/>
              <w:ind w:right="799"/>
              <w:spacing w:after="0" w:line="189" w:lineRule="exact"/>
              <w:rPr>
                <w:sz w:val="20"/>
                <w:szCs w:val="20"/>
                <w:color w:val="auto"/>
              </w:rPr>
            </w:pPr>
            <w:r>
              <w:rPr>
                <w:rFonts w:ascii="Arial" w:cs="Arial" w:eastAsia="Arial" w:hAnsi="Arial"/>
                <w:sz w:val="18"/>
                <w:szCs w:val="18"/>
                <w:color w:val="auto"/>
                <w:w w:val="90"/>
              </w:rPr>
              <w:t>Preclinical</w:t>
            </w:r>
          </w:p>
        </w:tc>
        <w:tc>
          <w:tcPr>
            <w:tcW w:w="100" w:type="dxa"/>
            <w:vAlign w:val="bottom"/>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8"/>
                <w:szCs w:val="18"/>
                <w:color w:val="auto"/>
              </w:rPr>
              <w:t>Initiate Phase 1 trial in 1H 2020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6"/>
              </w:rPr>
              <w:t>BNT152</w:t>
            </w:r>
          </w:p>
        </w:tc>
        <w:tc>
          <w:tcPr>
            <w:tcW w:w="3440" w:type="dxa"/>
            <w:vAlign w:val="bottom"/>
            <w:gridSpan w:val="2"/>
          </w:tcPr>
          <w:p>
            <w:pPr>
              <w:ind w:left="1900"/>
              <w:spacing w:after="0"/>
              <w:rPr>
                <w:sz w:val="20"/>
                <w:szCs w:val="20"/>
                <w:color w:val="auto"/>
              </w:rPr>
            </w:pPr>
            <w:r>
              <w:rPr>
                <w:rFonts w:ascii="Arial" w:cs="Arial" w:eastAsia="Arial" w:hAnsi="Arial"/>
                <w:sz w:val="18"/>
                <w:szCs w:val="18"/>
                <w:color w:val="auto"/>
              </w:rPr>
              <w:t>IL-7</w:t>
            </w:r>
          </w:p>
        </w:tc>
        <w:tc>
          <w:tcPr>
            <w:tcW w:w="1760" w:type="dxa"/>
            <w:vAlign w:val="bottom"/>
            <w:gridSpan w:val="2"/>
          </w:tcPr>
          <w:p>
            <w:pPr>
              <w:jc w:val="right"/>
              <w:ind w:right="799"/>
              <w:spacing w:after="0"/>
              <w:rPr>
                <w:sz w:val="20"/>
                <w:szCs w:val="20"/>
                <w:color w:val="auto"/>
              </w:rPr>
            </w:pPr>
            <w:r>
              <w:rPr>
                <w:rFonts w:ascii="Arial" w:cs="Arial" w:eastAsia="Arial" w:hAnsi="Arial"/>
                <w:sz w:val="18"/>
                <w:szCs w:val="18"/>
                <w:color w:val="auto"/>
              </w:rPr>
              <w:t>Preclinical</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Initiate Phase 1 trial in 2H 2020</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w w:val="96"/>
              </w:rPr>
              <w:t>BNT153</w:t>
            </w:r>
          </w:p>
        </w:tc>
        <w:tc>
          <w:tcPr>
            <w:tcW w:w="3440" w:type="dxa"/>
            <w:vAlign w:val="bottom"/>
            <w:gridSpan w:val="2"/>
          </w:tcPr>
          <w:p>
            <w:pPr>
              <w:ind w:left="1900"/>
              <w:spacing w:after="0"/>
              <w:rPr>
                <w:sz w:val="20"/>
                <w:szCs w:val="20"/>
                <w:color w:val="auto"/>
              </w:rPr>
            </w:pPr>
            <w:r>
              <w:rPr>
                <w:rFonts w:ascii="Arial" w:cs="Arial" w:eastAsia="Arial" w:hAnsi="Arial"/>
                <w:sz w:val="18"/>
                <w:szCs w:val="18"/>
                <w:color w:val="auto"/>
              </w:rPr>
              <w:t>IL-2</w:t>
            </w:r>
          </w:p>
        </w:tc>
        <w:tc>
          <w:tcPr>
            <w:tcW w:w="1760" w:type="dxa"/>
            <w:vAlign w:val="bottom"/>
            <w:gridSpan w:val="2"/>
          </w:tcPr>
          <w:p>
            <w:pPr>
              <w:jc w:val="right"/>
              <w:ind w:right="799"/>
              <w:spacing w:after="0"/>
              <w:rPr>
                <w:sz w:val="20"/>
                <w:szCs w:val="20"/>
                <w:color w:val="auto"/>
              </w:rPr>
            </w:pPr>
            <w:r>
              <w:rPr>
                <w:rFonts w:ascii="Arial" w:cs="Arial" w:eastAsia="Arial" w:hAnsi="Arial"/>
                <w:sz w:val="18"/>
                <w:szCs w:val="18"/>
                <w:color w:val="auto"/>
              </w:rPr>
              <w:t>Preclinical</w:t>
            </w:r>
          </w:p>
        </w:tc>
        <w:tc>
          <w:tcPr>
            <w:tcW w:w="518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6"/>
          <w:szCs w:val="16"/>
          <w:b w:val="1"/>
          <w:bCs w:val="1"/>
          <w:color w:val="auto"/>
        </w:rPr>
        <w:t>Our Engineered Cell Therapies Drug Class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tailored reprogramming of autologous T cells from cancer patients to recognize and attack their tumors has become a disruptive medical innovation. Retargeting of T cells can be achieved via introduction of tumor-specific receptors into patient-derived T cells. For that purpose, T cells are mostly engineered by retroviral gene transfer to express either T cell receptors, or TCRs, or chimeric antigen receptors, or CARs. Recently, CAR expressing T cells, or CAR-T cells, became the first engineered T cell therapy to obtain FDA approval for some B cell derived hematological malignancies.</w:t>
      </w:r>
    </w:p>
    <w:p>
      <w:pPr>
        <w:spacing w:after="0" w:line="333" w:lineRule="exact"/>
        <w:rPr>
          <w:sz w:val="20"/>
          <w:szCs w:val="20"/>
          <w:color w:val="auto"/>
        </w:rPr>
      </w:pPr>
    </w:p>
    <w:p>
      <w:pPr>
        <w:ind w:left="1180" w:hanging="544"/>
        <w:spacing w:after="0"/>
        <w:tabs>
          <w:tab w:leader="none" w:pos="11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3290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7700" cy="1329055"/>
                    </a:xfrm>
                    <a:prstGeom prst="rect">
                      <a:avLst/>
                    </a:prstGeom>
                    <a:noFill/>
                  </pic:spPr>
                </pic:pic>
              </a:graphicData>
            </a:graphic>
          </wp:anchor>
        </w:drawing>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CAR T Platform</w:t>
      </w:r>
    </w:p>
    <w:p>
      <w:pPr>
        <w:spacing w:after="0" w:line="127" w:lineRule="exact"/>
        <w:rPr>
          <w:sz w:val="20"/>
          <w:szCs w:val="20"/>
          <w:color w:val="auto"/>
        </w:rPr>
      </w:pPr>
    </w:p>
    <w:p>
      <w:pPr>
        <w:ind w:left="740" w:hanging="320"/>
        <w:spacing w:after="0"/>
        <w:tabs>
          <w:tab w:leader="none" w:pos="7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Second-generation CAR T therapy designed to overcome the shortcomings of CAR T therapy in solid tumors.</w:t>
      </w:r>
    </w:p>
    <w:p>
      <w:pPr>
        <w:spacing w:after="0" w:line="130" w:lineRule="exact"/>
        <w:rPr>
          <w:rFonts w:ascii="Arial" w:cs="Arial" w:eastAsia="Arial" w:hAnsi="Arial"/>
          <w:sz w:val="18"/>
          <w:szCs w:val="18"/>
          <w:color w:val="auto"/>
        </w:rPr>
      </w:pPr>
    </w:p>
    <w:p>
      <w:pPr>
        <w:ind w:left="740" w:right="340" w:hanging="320"/>
        <w:spacing w:after="0" w:line="266" w:lineRule="auto"/>
        <w:tabs>
          <w:tab w:leader="none" w:pos="7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Mechanism: </w:t>
      </w:r>
      <w:r>
        <w:rPr>
          <w:rFonts w:ascii="Arial" w:cs="Arial" w:eastAsia="Arial" w:hAnsi="Arial"/>
          <w:sz w:val="18"/>
          <w:szCs w:val="18"/>
          <w:color w:val="auto"/>
        </w:rPr>
        <w:t>T cells with CARs engineered to target cancer-specific antigens, including novel antigens selected from our proprietary antigen</w:t>
      </w:r>
      <w:r>
        <w:rPr>
          <w:rFonts w:ascii="Arial" w:cs="Arial" w:eastAsia="Arial" w:hAnsi="Arial"/>
          <w:sz w:val="18"/>
          <w:szCs w:val="18"/>
          <w:b w:val="1"/>
          <w:bCs w:val="1"/>
          <w:color w:val="auto"/>
        </w:rPr>
        <w:t xml:space="preserve"> </w:t>
      </w:r>
      <w:r>
        <w:rPr>
          <w:rFonts w:ascii="Arial" w:cs="Arial" w:eastAsia="Arial" w:hAnsi="Arial"/>
          <w:sz w:val="18"/>
          <w:szCs w:val="18"/>
          <w:color w:val="auto"/>
        </w:rPr>
        <w:t>library and administered with an mRNA-based immune booster, which we refer to as CARVac, to enhance CAR-T cell expansion and persistence.</w:t>
      </w:r>
    </w:p>
    <w:p>
      <w:pPr>
        <w:spacing w:after="0" w:line="81" w:lineRule="exact"/>
        <w:rPr>
          <w:rFonts w:ascii="Arial" w:cs="Arial" w:eastAsia="Arial" w:hAnsi="Arial"/>
          <w:sz w:val="18"/>
          <w:szCs w:val="18"/>
          <w:color w:val="auto"/>
        </w:rPr>
      </w:pPr>
    </w:p>
    <w:p>
      <w:pPr>
        <w:ind w:left="740" w:hanging="320"/>
        <w:spacing w:after="0"/>
        <w:tabs>
          <w:tab w:leader="none" w:pos="7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 owned.</w:t>
      </w:r>
    </w:p>
    <w:p>
      <w:pPr>
        <w:spacing w:after="0" w:line="130" w:lineRule="exact"/>
        <w:rPr>
          <w:rFonts w:ascii="Arial" w:cs="Arial" w:eastAsia="Arial" w:hAnsi="Arial"/>
          <w:sz w:val="18"/>
          <w:szCs w:val="18"/>
          <w:color w:val="auto"/>
        </w:rPr>
      </w:pPr>
    </w:p>
    <w:p>
      <w:pPr>
        <w:ind w:left="740" w:hanging="320"/>
        <w:spacing w:after="0"/>
        <w:tabs>
          <w:tab w:leader="none" w:pos="74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BNT211 for multiple solid tumors.</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CARs are artificial receptors that consist of an antigen recognition domain derived from a tumor-specific antibody linked to intracellular T cell signaling domains. CARs redirect T cells to eradicate tumors through specific recognition of native surface proteins expressed on tumor cells in a non-MHC-restricted manner. Therefore, CAR-T cells can be used for the treatment of all individuals whose tumor expresses the respective target, independent of the individual’s HLA genotype. CARs can be used for redirection of both CD4</w:t>
      </w:r>
      <w:r>
        <w:rPr>
          <w:rFonts w:ascii="Arial" w:cs="Arial" w:eastAsia="Arial" w:hAnsi="Arial"/>
          <w:sz w:val="14"/>
          <w:szCs w:val="14"/>
          <w:color w:val="auto"/>
        </w:rPr>
        <w:t>+</w:t>
      </w:r>
      <w:r>
        <w:rPr>
          <w:rFonts w:ascii="Arial" w:cs="Arial" w:eastAsia="Arial" w:hAnsi="Arial"/>
          <w:sz w:val="17"/>
          <w:szCs w:val="17"/>
          <w:color w:val="auto"/>
        </w:rPr>
        <w:t xml:space="preserve"> and CD8</w:t>
      </w:r>
      <w:r>
        <w:rPr>
          <w:rFonts w:ascii="Arial" w:cs="Arial" w:eastAsia="Arial" w:hAnsi="Arial"/>
          <w:sz w:val="14"/>
          <w:szCs w:val="14"/>
          <w:color w:val="auto"/>
        </w:rPr>
        <w:t>+</w:t>
      </w:r>
      <w:r>
        <w:rPr>
          <w:rFonts w:ascii="Arial" w:cs="Arial" w:eastAsia="Arial" w:hAnsi="Arial"/>
          <w:sz w:val="17"/>
          <w:szCs w:val="17"/>
          <w:color w:val="auto"/>
        </w:rPr>
        <w:t xml:space="preserve">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135255</wp:posOffset>
            </wp:positionV>
            <wp:extent cx="3738880" cy="31388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73888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Second-generation CAR. </w:t>
      </w:r>
      <w:r>
        <w:rPr>
          <w:rFonts w:ascii="Arial" w:cs="Arial" w:eastAsia="Arial" w:hAnsi="Arial"/>
          <w:sz w:val="13"/>
          <w:szCs w:val="13"/>
          <w:color w:val="auto"/>
        </w:rPr>
        <w:t>The figure above illustrates the basic structure of a second-generation CAR, such as those included in our BNT211 and BNT212 product candidates.</w:t>
      </w:r>
    </w:p>
    <w:p>
      <w:pPr>
        <w:spacing w:after="0" w:line="2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While CAR T therapy has shown potent anti-tumor responses in patients with B cell malignancies, clinical efficacy in solid tumors so far is limited. The main hurdles for application of CAR T therapies in solid tumors are:</w:t>
      </w:r>
    </w:p>
    <w:p>
      <w:pPr>
        <w:spacing w:after="0" w:line="76" w:lineRule="exact"/>
        <w:rPr>
          <w:sz w:val="20"/>
          <w:szCs w:val="20"/>
          <w:color w:val="auto"/>
        </w:rPr>
      </w:pPr>
    </w:p>
    <w:p>
      <w:pPr>
        <w:ind w:left="1180" w:hanging="436"/>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Lack of highly tumor-selective targets, which are needed for safe and effective tumor targeting;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Low anti-tumoral activity due to insufficient expansion of engineered T cells.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20"/>
          </w:cols>
          <w:pgMar w:left="240" w:top="459" w:right="7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developing the next generation of engineered T cell therapies that:</w:t>
      </w:r>
    </w:p>
    <w:p>
      <w:pPr>
        <w:spacing w:after="0" w:line="131" w:lineRule="exact"/>
        <w:rPr>
          <w:sz w:val="20"/>
          <w:szCs w:val="20"/>
          <w:color w:val="auto"/>
        </w:rPr>
      </w:pPr>
    </w:p>
    <w:p>
      <w:pPr>
        <w:ind w:left="1180" w:right="540" w:hanging="436"/>
        <w:spacing w:after="0" w:line="277" w:lineRule="auto"/>
        <w:tabs>
          <w:tab w:leader="none" w:pos="11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target novel and known tumor-specific antigens, including mutant neoantigens, and a broad spectrum of tumor-associated antigens expressed in a wide range of cancers;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leverage our proprietary CARVac technology for controlled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stimulation, activation and expansion of engineered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176530</wp:posOffset>
            </wp:positionV>
            <wp:extent cx="3679190" cy="22637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67919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line="259" w:lineRule="auto"/>
        <w:rPr>
          <w:sz w:val="20"/>
          <w:szCs w:val="20"/>
          <w:color w:val="auto"/>
        </w:rPr>
      </w:pPr>
      <w:r>
        <w:rPr>
          <w:rFonts w:ascii="Arial" w:cs="Arial" w:eastAsia="Arial" w:hAnsi="Arial"/>
          <w:sz w:val="14"/>
          <w:szCs w:val="14"/>
          <w:b w:val="1"/>
          <w:bCs w:val="1"/>
          <w:color w:val="auto"/>
        </w:rPr>
        <w:t xml:space="preserve">Our platforms for development of next-generation engineered T cell therapies. </w:t>
      </w:r>
      <w:r>
        <w:rPr>
          <w:rFonts w:ascii="Arial" w:cs="Arial" w:eastAsia="Arial" w:hAnsi="Arial"/>
          <w:sz w:val="14"/>
          <w:szCs w:val="14"/>
          <w:color w:val="auto"/>
        </w:rPr>
        <w:t>Our engineered cell therapies combine our antigen selection capabilities with our FixVac immunotherapy</w:t>
      </w:r>
      <w:r>
        <w:rPr>
          <w:rFonts w:ascii="Arial" w:cs="Arial" w:eastAsia="Arial" w:hAnsi="Arial"/>
          <w:sz w:val="14"/>
          <w:szCs w:val="14"/>
          <w:b w:val="1"/>
          <w:bCs w:val="1"/>
          <w:color w:val="auto"/>
        </w:rPr>
        <w:t xml:space="preserve"> </w:t>
      </w:r>
      <w:r>
        <w:rPr>
          <w:rFonts w:ascii="Arial" w:cs="Arial" w:eastAsia="Arial" w:hAnsi="Arial"/>
          <w:sz w:val="14"/>
          <w:szCs w:val="14"/>
          <w:color w:val="auto"/>
        </w:rPr>
        <w:t>to enhance T cell activation and expansion.</w:t>
      </w:r>
    </w:p>
    <w:p>
      <w:pPr>
        <w:spacing w:after="0" w:line="174"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powerful characteristics of CAR-T cells, including their potential to eradicate targeted tumor cells in combination with their potentially life-long persistence in the host, require careful target selection. We believe the essential features of an ideal antigen for T cell-based immunotherapy are:</w:t>
      </w:r>
    </w:p>
    <w:p>
      <w:pPr>
        <w:spacing w:after="0" w:line="29" w:lineRule="exact"/>
        <w:rPr>
          <w:sz w:val="20"/>
          <w:szCs w:val="20"/>
          <w:color w:val="auto"/>
        </w:rPr>
      </w:pPr>
    </w:p>
    <w:p>
      <w:pPr>
        <w:ind w:left="1180" w:hanging="436"/>
        <w:spacing w:after="0"/>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Absence of expression from any toxicity-relevant non-malignant tissue, to prevent off-tumor/on-target toxicity;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Expression on the cell surface of tumor cells at sufficient levels to allow for recognition and lysis by CAR-T cells.</w:t>
      </w:r>
    </w:p>
    <w:p>
      <w:pPr>
        <w:spacing w:after="0" w:line="225"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are developing CAR T programs targeting two different members of the Claudin family, namely CLDN6 and CLDN18.2. Claudins, or CLDNs, are central components of tight junctions that regulate epithelial-cell barrier function and polarity. Most of the CLDNs are broadly expressed, while CLDN6 and CLDN18.2 are exclusively expressed in different high medical need cancers. Disturbance and dysregulation of tight junction molecules is a frequent hallmark of cancer cells and often associated with malignant transformation and metastasis and, hence, disease progression.</w:t>
      </w:r>
    </w:p>
    <w:p>
      <w:pPr>
        <w:spacing w:after="0" w:line="15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CLDN6 is an oncofetal cell surface antigen expressed in embryonic stem cells during fetal development. The gene encoding CLDN6 is strictly silenced and not expressed in healthy adult tissues but re-activated in different cancers with a high medical need including ovarian, endometrial, testicular and lung cancers.</w:t>
      </w:r>
    </w:p>
    <w:p>
      <w:pPr>
        <w:spacing w:after="0" w:line="181"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In contrast to CLDN6, CLDN18.2 is a tissue restricted marker that is exclusively expressed in short-lived differentiated cells of the gastric mucosa. CLDN18.2 is observed in a large fraction of gastric cancers. In addition, CLDN18.2 is aberrantly activated in a variety of tumor entities, including esophageal cancer, pancreatic adenocarcinoma and cholangiocarcinoma.</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240" w:top="460" w:right="5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In-vivo </w:t>
      </w:r>
      <w:r>
        <w:rPr>
          <w:rFonts w:ascii="Arial" w:cs="Arial" w:eastAsia="Arial" w:hAnsi="Arial"/>
          <w:sz w:val="18"/>
          <w:szCs w:val="18"/>
          <w:b w:val="1"/>
          <w:bCs w:val="1"/>
          <w:i w:val="1"/>
          <w:iCs w:val="1"/>
          <w:color w:val="auto"/>
        </w:rPr>
        <w:t>expansion of engineered T cells using liposomally formulated mRNA</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Besides targeting an ideal tumor-specific antigen, the frequency and the persistence of CAR-T cells in the respective patient is a critical factor determining antitumor efficacy. A positive correlation between clinical outcome and CAR-T cell engraftment and persistence has been shown in several CD19-targeting CAR T trials. Both tend to be much more limited in the solid tumor setting, likely due to the lack of circulating antigen-presenting cells, or APCs, such as dendritic cells expressing the target CAR antigen.</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To address this critical factor, we developed an approach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stimulation of CAR-T cells that relies on our proprietary FixVac technology for systemic mRNA delivery in combination with our CAR T product candidates. Intravenous administration of a FixVac encoding for the tumor antigen induces expression of the desired target on antigen-presenting cells in secondary lymphoid tissues. FixVac treatment facilitates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expansion of CAR-T cells in a dose-dependent manner. Moreover repetitive administration of FixVac results in an improved CAR-T cell persistence as well as increased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96840" cy="36620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96840" cy="366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 xml:space="preserve">Our CAR-T cell immunotherapies combined with CARVac-mediated </w:t>
      </w:r>
      <w:r>
        <w:rPr>
          <w:rFonts w:ascii="Arial" w:cs="Arial" w:eastAsia="Arial" w:hAnsi="Arial"/>
          <w:sz w:val="13"/>
          <w:szCs w:val="13"/>
          <w:b w:val="1"/>
          <w:bCs w:val="1"/>
          <w:i w:val="1"/>
          <w:iCs w:val="1"/>
          <w:color w:val="auto"/>
        </w:rPr>
        <w:t>in vivo</w:t>
      </w:r>
      <w:r>
        <w:rPr>
          <w:rFonts w:ascii="Arial" w:cs="Arial" w:eastAsia="Arial" w:hAnsi="Arial"/>
          <w:sz w:val="13"/>
          <w:szCs w:val="13"/>
          <w:b w:val="1"/>
          <w:bCs w:val="1"/>
          <w:color w:val="auto"/>
        </w:rPr>
        <w:t xml:space="preserve"> expansion. </w:t>
      </w:r>
      <w:r>
        <w:rPr>
          <w:rFonts w:ascii="Arial" w:cs="Arial" w:eastAsia="Arial" w:hAnsi="Arial"/>
          <w:sz w:val="13"/>
          <w:szCs w:val="13"/>
          <w:color w:val="auto"/>
        </w:rPr>
        <w:t>(A) Autologous T cells engineered to express a CAR are adoptively transferred into the patient.</w:t>
      </w:r>
    </w:p>
    <w:p>
      <w:pPr>
        <w:spacing w:after="0" w:line="15" w:lineRule="exact"/>
        <w:rPr>
          <w:sz w:val="20"/>
          <w:szCs w:val="20"/>
          <w:color w:val="auto"/>
        </w:rPr>
      </w:pPr>
    </w:p>
    <w:p>
      <w:pPr>
        <w:ind w:left="200" w:right="60" w:firstLine="4"/>
        <w:spacing w:after="0" w:line="232" w:lineRule="auto"/>
        <w:tabs>
          <w:tab w:leader="none" w:pos="428" w:val="left"/>
        </w:tabs>
        <w:numPr>
          <w:ilvl w:val="0"/>
          <w:numId w:val="170"/>
        </w:numPr>
        <w:rPr>
          <w:rFonts w:ascii="Arial" w:cs="Arial" w:eastAsia="Arial" w:hAnsi="Arial"/>
          <w:sz w:val="14"/>
          <w:szCs w:val="14"/>
          <w:color w:val="auto"/>
        </w:rPr>
      </w:pPr>
      <w:r>
        <w:rPr>
          <w:rFonts w:ascii="Arial" w:cs="Arial" w:eastAsia="Arial" w:hAnsi="Arial"/>
          <w:sz w:val="14"/>
          <w:szCs w:val="14"/>
          <w:color w:val="auto"/>
        </w:rPr>
        <w:t xml:space="preserve">Full-length CAR target-encoding mRNA is complexed with liposomes to form RNA-LPX lipoplexes (CARVac). (C) Intravenously administered CARVac selectively targets APCs in secondary lymphoid organs facilitating uptake, antigen expression and maturation of APCs. Exposure of CAR-T cells to their target results in CAR-T cell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(D) CARVac can be administered repetitively to achieve controlled expansion and persistence of CAR-T cells within the therapeutic window.</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CAR T Development Plan</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first CAR T product candidate, BNT211, includes a second-generation CAR directed against CLDN6. Our second product candidate is BNT212, which includes a CLDN18.2-targeting CAR. We expect to initiate a Phase 1/2 basket trial of our novel combination CLDN6 CAR-T cell and CLDN6 CARVac product candidate in multiple solid tumors in the first half of 2020.</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Candidate</w:t>
            </w:r>
          </w:p>
        </w:tc>
        <w:tc>
          <w:tcPr>
            <w:tcW w:w="1120" w:type="dxa"/>
            <w:vAlign w:val="bottom"/>
          </w:tcPr>
          <w:p>
            <w:pPr>
              <w:spacing w:after="0"/>
              <w:rPr>
                <w:sz w:val="16"/>
                <w:szCs w:val="16"/>
                <w:color w:val="auto"/>
              </w:rPr>
            </w:pPr>
          </w:p>
        </w:tc>
        <w:tc>
          <w:tcPr>
            <w:tcW w:w="334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Antigen Target</w:t>
            </w:r>
          </w:p>
        </w:tc>
        <w:tc>
          <w:tcPr>
            <w:tcW w:w="320" w:type="dxa"/>
            <w:vAlign w:val="bottom"/>
          </w:tcPr>
          <w:p>
            <w:pPr>
              <w:spacing w:after="0"/>
              <w:rPr>
                <w:sz w:val="16"/>
                <w:szCs w:val="16"/>
                <w:color w:val="auto"/>
              </w:rPr>
            </w:pPr>
          </w:p>
        </w:tc>
        <w:tc>
          <w:tcPr>
            <w:tcW w:w="334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Development Phase</w:t>
            </w:r>
          </w:p>
        </w:tc>
        <w:tc>
          <w:tcPr>
            <w:tcW w:w="120" w:type="dxa"/>
            <w:vAlign w:val="bottom"/>
          </w:tcPr>
          <w:p>
            <w:pPr>
              <w:spacing w:after="0"/>
              <w:rPr>
                <w:sz w:val="16"/>
                <w:szCs w:val="16"/>
                <w:color w:val="auto"/>
              </w:rPr>
            </w:pPr>
          </w:p>
        </w:tc>
        <w:tc>
          <w:tcPr>
            <w:tcW w:w="2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w w:val="96"/>
              </w:rPr>
              <w:t>BNT211</w:t>
            </w:r>
          </w:p>
        </w:tc>
        <w:tc>
          <w:tcPr>
            <w:tcW w:w="1120" w:type="dxa"/>
            <w:vAlign w:val="bottom"/>
          </w:tcPr>
          <w:p>
            <w:pPr>
              <w:spacing w:after="0"/>
              <w:rPr>
                <w:sz w:val="16"/>
                <w:szCs w:val="16"/>
                <w:color w:val="auto"/>
              </w:rPr>
            </w:pPr>
          </w:p>
        </w:tc>
        <w:tc>
          <w:tcPr>
            <w:tcW w:w="3340" w:type="dxa"/>
            <w:vAlign w:val="bottom"/>
          </w:tcPr>
          <w:p>
            <w:pPr>
              <w:spacing w:after="0" w:line="189" w:lineRule="exact"/>
              <w:rPr>
                <w:sz w:val="20"/>
                <w:szCs w:val="20"/>
                <w:color w:val="auto"/>
              </w:rPr>
            </w:pPr>
            <w:r>
              <w:rPr>
                <w:rFonts w:ascii="Arial" w:cs="Arial" w:eastAsia="Arial" w:hAnsi="Arial"/>
                <w:sz w:val="18"/>
                <w:szCs w:val="18"/>
                <w:color w:val="auto"/>
              </w:rPr>
              <w:t>CLDN6</w:t>
            </w:r>
          </w:p>
        </w:tc>
        <w:tc>
          <w:tcPr>
            <w:tcW w:w="320" w:type="dxa"/>
            <w:vAlign w:val="bottom"/>
          </w:tcPr>
          <w:p>
            <w:pPr>
              <w:spacing w:after="0"/>
              <w:rPr>
                <w:sz w:val="16"/>
                <w:szCs w:val="16"/>
                <w:color w:val="auto"/>
              </w:rPr>
            </w:pPr>
          </w:p>
        </w:tc>
        <w:tc>
          <w:tcPr>
            <w:tcW w:w="3340" w:type="dxa"/>
            <w:vAlign w:val="bottom"/>
          </w:tcPr>
          <w:p>
            <w:pPr>
              <w:jc w:val="right"/>
              <w:ind w:right="2499"/>
              <w:spacing w:after="0" w:line="189" w:lineRule="exact"/>
              <w:rPr>
                <w:sz w:val="20"/>
                <w:szCs w:val="20"/>
                <w:color w:val="auto"/>
              </w:rPr>
            </w:pPr>
            <w:r>
              <w:rPr>
                <w:rFonts w:ascii="Arial" w:cs="Arial" w:eastAsia="Arial" w:hAnsi="Arial"/>
                <w:sz w:val="18"/>
                <w:szCs w:val="18"/>
                <w:color w:val="auto"/>
                <w:w w:val="90"/>
              </w:rPr>
              <w:t>Preclinical</w:t>
            </w:r>
          </w:p>
        </w:tc>
        <w:tc>
          <w:tcPr>
            <w:tcW w:w="120" w:type="dxa"/>
            <w:vAlign w:val="bottom"/>
          </w:tcPr>
          <w:p>
            <w:pPr>
              <w:spacing w:after="0"/>
              <w:rPr>
                <w:sz w:val="16"/>
                <w:szCs w:val="16"/>
                <w:color w:val="auto"/>
              </w:rPr>
            </w:pPr>
          </w:p>
        </w:tc>
        <w:tc>
          <w:tcPr>
            <w:tcW w:w="2140" w:type="dxa"/>
            <w:vAlign w:val="bottom"/>
          </w:tcPr>
          <w:p>
            <w:pPr>
              <w:spacing w:after="0" w:line="189" w:lineRule="exact"/>
              <w:rPr>
                <w:sz w:val="20"/>
                <w:szCs w:val="20"/>
                <w:color w:val="auto"/>
              </w:rPr>
            </w:pPr>
            <w:r>
              <w:rPr>
                <w:rFonts w:ascii="Arial" w:cs="Arial" w:eastAsia="Arial" w:hAnsi="Arial"/>
                <w:sz w:val="18"/>
                <w:szCs w:val="18"/>
                <w:color w:val="auto"/>
              </w:rPr>
              <w:t>Initiate Phase 1/2</w:t>
            </w:r>
          </w:p>
        </w:tc>
      </w:tr>
      <w:tr>
        <w:trPr>
          <w:trHeight w:val="216"/>
        </w:trPr>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trial in 1H 2020</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w w:val="96"/>
              </w:rPr>
              <w:t>BNT212</w:t>
            </w:r>
          </w:p>
        </w:tc>
        <w:tc>
          <w:tcPr>
            <w:tcW w:w="4460" w:type="dxa"/>
            <w:vAlign w:val="bottom"/>
            <w:gridSpan w:val="2"/>
          </w:tcPr>
          <w:p>
            <w:pPr>
              <w:ind w:left="1120"/>
              <w:spacing w:after="0"/>
              <w:rPr>
                <w:sz w:val="20"/>
                <w:szCs w:val="20"/>
                <w:color w:val="auto"/>
              </w:rPr>
            </w:pPr>
            <w:r>
              <w:rPr>
                <w:rFonts w:ascii="Arial" w:cs="Arial" w:eastAsia="Arial" w:hAnsi="Arial"/>
                <w:sz w:val="18"/>
                <w:szCs w:val="18"/>
                <w:color w:val="auto"/>
              </w:rPr>
              <w:t>CLDN18.2</w:t>
            </w:r>
          </w:p>
        </w:tc>
        <w:tc>
          <w:tcPr>
            <w:tcW w:w="3660" w:type="dxa"/>
            <w:vAlign w:val="bottom"/>
            <w:gridSpan w:val="2"/>
          </w:tcPr>
          <w:p>
            <w:pPr>
              <w:jc w:val="right"/>
              <w:ind w:right="2499"/>
              <w:spacing w:after="0"/>
              <w:rPr>
                <w:sz w:val="20"/>
                <w:szCs w:val="20"/>
                <w:color w:val="auto"/>
              </w:rPr>
            </w:pPr>
            <w:r>
              <w:rPr>
                <w:rFonts w:ascii="Arial" w:cs="Arial" w:eastAsia="Arial" w:hAnsi="Arial"/>
                <w:sz w:val="18"/>
                <w:szCs w:val="18"/>
                <w:color w:val="auto"/>
              </w:rPr>
              <w:t>Preclinical</w:t>
            </w:r>
          </w:p>
        </w:tc>
        <w:tc>
          <w:tcPr>
            <w:tcW w:w="2260" w:type="dxa"/>
            <w:vAlign w:val="bottom"/>
            <w:gridSpan w:val="2"/>
          </w:tcPr>
          <w:p>
            <w:pPr>
              <w:ind w:left="12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1180" w:hanging="544"/>
        <w:spacing w:after="0"/>
        <w:tabs>
          <w:tab w:leader="none" w:pos="11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TCRs</w:t>
      </w:r>
    </w:p>
    <w:p>
      <w:pPr>
        <w:spacing w:after="0" w:line="121"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The T cell receptor, or TCR, is part of a complex signaling machinery, which includes the TCR α and ß chains that are responsible for antigen recognition, the co-receptor CD4</w:t>
      </w:r>
      <w:r>
        <w:rPr>
          <w:rFonts w:ascii="Arial" w:cs="Arial" w:eastAsia="Arial" w:hAnsi="Arial"/>
          <w:sz w:val="13"/>
          <w:szCs w:val="13"/>
          <w:color w:val="auto"/>
        </w:rPr>
        <w:t>+</w:t>
      </w:r>
      <w:r>
        <w:rPr>
          <w:rFonts w:ascii="Arial" w:cs="Arial" w:eastAsia="Arial" w:hAnsi="Arial"/>
          <w:sz w:val="16"/>
          <w:szCs w:val="16"/>
          <w:color w:val="auto"/>
        </w:rPr>
        <w:t xml:space="preserve"> or CD8</w:t>
      </w:r>
      <w:r>
        <w:rPr>
          <w:rFonts w:ascii="Arial" w:cs="Arial" w:eastAsia="Arial" w:hAnsi="Arial"/>
          <w:sz w:val="13"/>
          <w:szCs w:val="13"/>
          <w:color w:val="auto"/>
        </w:rPr>
        <w:t>+</w:t>
      </w:r>
      <w:r>
        <w:rPr>
          <w:rFonts w:ascii="Arial" w:cs="Arial" w:eastAsia="Arial" w:hAnsi="Arial"/>
          <w:sz w:val="16"/>
          <w:szCs w:val="16"/>
          <w:color w:val="auto"/>
        </w:rPr>
        <w:t xml:space="preserve"> and the CD3 signal transduction complex. TCRs recognize antigens presented on the cell surface as small peptides loaded on the patients’ HLA molecules. Those peptides are derived from proteins after intracellular degradation. In contrast to CARs that recognize solely native membrane proteins, the repertoire of suitable TCR target antigens include TAAs and mutant neoantigens.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124460</wp:posOffset>
            </wp:positionV>
            <wp:extent cx="3430270" cy="31388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3027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TCR Complex. </w:t>
      </w:r>
      <w:r>
        <w:rPr>
          <w:rFonts w:ascii="Arial" w:cs="Arial" w:eastAsia="Arial" w:hAnsi="Arial"/>
          <w:sz w:val="14"/>
          <w:szCs w:val="14"/>
          <w:color w:val="auto"/>
        </w:rPr>
        <w:t>The illustration above shows the basic structure of a TCR complex.</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TCR Discovery and Validation Platform</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developed an integrated technology platform for the systematic identification of functional, fully human TCRs from single antigen-reactive T cells. This technology consists of a proprietary high-throughput approach for the fast retrieval, cloning and rapid validation of novel paired T cell receptor sequences. Our approach facilitates the isolation of tumor cell specific TCRs against multiple antigens and various HLA class I and II alleles.</w:t>
      </w:r>
    </w:p>
    <w:p>
      <w:pPr>
        <w:spacing w:after="0" w:line="18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believe our TCR discovery technology has the potential to unlock an array of patient- and tumor-specific TCRs suitable for clinical use. We believe this technology has potential utility for:</w:t>
      </w:r>
    </w:p>
    <w:p>
      <w:pPr>
        <w:spacing w:after="0" w:line="76" w:lineRule="exact"/>
        <w:rPr>
          <w:sz w:val="20"/>
          <w:szCs w:val="20"/>
          <w:color w:val="auto"/>
        </w:rPr>
      </w:pPr>
    </w:p>
    <w:p>
      <w:pPr>
        <w:ind w:left="1180" w:hanging="436"/>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therapeutic TCR products encompassing single TCRs to target a specific antigen;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therapeutic TCR warehouse encompassing multiple TCRs to target one or more tumor antigens; or</w:t>
      </w:r>
    </w:p>
    <w:p>
      <w:pPr>
        <w:spacing w:after="0" w:line="130" w:lineRule="exact"/>
        <w:rPr>
          <w:rFonts w:ascii="Arial" w:cs="Arial" w:eastAsia="Arial" w:hAnsi="Arial"/>
          <w:sz w:val="18"/>
          <w:szCs w:val="18"/>
          <w:color w:val="auto"/>
        </w:rPr>
      </w:pPr>
    </w:p>
    <w:p>
      <w:pPr>
        <w:ind w:left="1180" w:right="600" w:hanging="436"/>
        <w:spacing w:after="0" w:line="277" w:lineRule="auto"/>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individualized T cell therapy involving on-demand identification and timely manufacturing of customized, engineered T cells with autologous TCRs against neoepitopes for adoptive transfer.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TCR Development Plan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and our collaborator Eli Lilly are studying potential TCR product candidates in preclinical studies. On September 5, 2019, Eli Lilly notified us that it has selected its first target under the collaboration.</w:t>
      </w:r>
    </w:p>
    <w:p>
      <w:pPr>
        <w:spacing w:after="0" w:line="315" w:lineRule="exact"/>
        <w:rPr>
          <w:sz w:val="20"/>
          <w:szCs w:val="20"/>
          <w:color w:val="auto"/>
        </w:rPr>
      </w:pPr>
    </w:p>
    <w:p>
      <w:pPr>
        <w:ind w:left="640" w:hanging="436"/>
        <w:spacing w:after="0"/>
        <w:tabs>
          <w:tab w:leader="none" w:pos="64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Antibodies Drug Class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the past decades, monoclonal antibodies, or mAbs, have transformed from scientific tools to powerful human therapeutics. As one of the fastest growing classes of drugs, to date, more than 40 mAbs have been approved to treat a variety of diseases including cancer, inflammation, autoimmune diseases and others. In addition, identified antigen-binding domains are also fundamental elements for the construction of novel therapeutic formats and formulations, such as CAR-T cells, bispecific therapeutics and targeted nanoparticles.</w:t>
      </w:r>
    </w:p>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have developed and integrated multiple complementary antibody and antibody-mimetic protein technologies into our overall portfolio of treatment approaches.</w:t>
      </w:r>
    </w:p>
    <w:p>
      <w:pPr>
        <w:spacing w:after="0" w:line="315" w:lineRule="exact"/>
        <w:rPr>
          <w:sz w:val="20"/>
          <w:szCs w:val="20"/>
          <w:color w:val="auto"/>
        </w:rPr>
      </w:pPr>
    </w:p>
    <w:p>
      <w:pPr>
        <w:ind w:left="1180" w:hanging="544"/>
        <w:spacing w:after="0"/>
        <w:tabs>
          <w:tab w:leader="none" w:pos="11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Our Next-generation Checkpoint Immunomodulators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4662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7700" cy="1466215"/>
                    </a:xfrm>
                    <a:prstGeom prst="rect">
                      <a:avLst/>
                    </a:prstGeom>
                    <a:noFill/>
                  </pic:spPr>
                </pic:pic>
              </a:graphicData>
            </a:graphic>
          </wp:anchor>
        </w:drawing>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 a glance: Our Next-generation Checkpoint Immunomodulators</w:t>
      </w:r>
    </w:p>
    <w:p>
      <w:pPr>
        <w:spacing w:after="0" w:line="127" w:lineRule="exact"/>
        <w:rPr>
          <w:sz w:val="20"/>
          <w:szCs w:val="20"/>
          <w:color w:val="auto"/>
        </w:rPr>
      </w:pPr>
    </w:p>
    <w:p>
      <w:pPr>
        <w:ind w:left="740" w:right="220" w:hanging="320"/>
        <w:spacing w:after="0" w:line="313" w:lineRule="auto"/>
        <w:tabs>
          <w:tab w:leader="none" w:pos="740"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 xml:space="preserve">Concept: </w:t>
      </w:r>
      <w:r>
        <w:rPr>
          <w:rFonts w:ascii="Arial" w:cs="Arial" w:eastAsia="Arial" w:hAnsi="Arial"/>
          <w:sz w:val="17"/>
          <w:szCs w:val="17"/>
          <w:color w:val="auto"/>
        </w:rPr>
        <w:t>Bispecific antibodies for dual immunomodulation, initially targeting 4-1BB, an immune checkpoint that is expressed on T cells and</w:t>
      </w:r>
      <w:r>
        <w:rPr>
          <w:rFonts w:ascii="Arial" w:cs="Arial" w:eastAsia="Arial" w:hAnsi="Arial"/>
          <w:sz w:val="17"/>
          <w:szCs w:val="17"/>
          <w:b w:val="1"/>
          <w:bCs w:val="1"/>
          <w:color w:val="auto"/>
        </w:rPr>
        <w:t xml:space="preserve"> </w:t>
      </w:r>
      <w:r>
        <w:rPr>
          <w:rFonts w:ascii="Arial" w:cs="Arial" w:eastAsia="Arial" w:hAnsi="Arial"/>
          <w:sz w:val="17"/>
          <w:szCs w:val="17"/>
          <w:color w:val="auto"/>
        </w:rPr>
        <w:t>NK cells and can enhance immune cell proliferation and activation, in combination with simultaneous checkpoint inhibition.</w:t>
      </w:r>
    </w:p>
    <w:p>
      <w:pPr>
        <w:spacing w:after="0" w:line="43" w:lineRule="exact"/>
        <w:rPr>
          <w:rFonts w:ascii="Arial" w:cs="Arial" w:eastAsia="Arial" w:hAnsi="Arial"/>
          <w:sz w:val="17"/>
          <w:szCs w:val="17"/>
          <w:color w:val="auto"/>
        </w:rPr>
      </w:pPr>
    </w:p>
    <w:p>
      <w:pPr>
        <w:ind w:left="740" w:right="240" w:hanging="320"/>
        <w:spacing w:after="0" w:line="347" w:lineRule="auto"/>
        <w:tabs>
          <w:tab w:leader="none" w:pos="740"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 xml:space="preserve">Mechanism: </w:t>
      </w:r>
      <w:r>
        <w:rPr>
          <w:rFonts w:ascii="Arial" w:cs="Arial" w:eastAsia="Arial" w:hAnsi="Arial"/>
          <w:sz w:val="16"/>
          <w:szCs w:val="16"/>
          <w:color w:val="auto"/>
        </w:rPr>
        <w:t>Conditional activation of 4-1BB checkpoint only upon simultaneous binding of PD-L1 or CD40 (in the case of our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candidates), potentially avoiding toxicities seen in prior attempts at 4-1BB agonism by localizing 4-1BB activation to the tumor environment.</w:t>
      </w:r>
    </w:p>
    <w:p>
      <w:pPr>
        <w:spacing w:after="0" w:line="21" w:lineRule="exact"/>
        <w:rPr>
          <w:rFonts w:ascii="Arial" w:cs="Arial" w:eastAsia="Arial" w:hAnsi="Arial"/>
          <w:sz w:val="16"/>
          <w:szCs w:val="16"/>
          <w:color w:val="auto"/>
        </w:rPr>
      </w:pPr>
    </w:p>
    <w:p>
      <w:pPr>
        <w:ind w:left="740" w:right="60" w:hanging="320"/>
        <w:spacing w:after="0" w:line="282" w:lineRule="auto"/>
        <w:tabs>
          <w:tab w:leader="none" w:pos="7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50:50 cost and profit share with Genmab, combining our and Genmab’s immunostimulatory antibodies and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immunology expertise with Genmab’s DuoBody bispecific antibody platform.</w:t>
      </w:r>
    </w:p>
    <w:p>
      <w:pPr>
        <w:spacing w:after="0" w:line="67" w:lineRule="exact"/>
        <w:rPr>
          <w:rFonts w:ascii="Arial" w:cs="Arial" w:eastAsia="Arial" w:hAnsi="Arial"/>
          <w:sz w:val="18"/>
          <w:szCs w:val="18"/>
          <w:color w:val="auto"/>
        </w:rPr>
      </w:pPr>
    </w:p>
    <w:p>
      <w:pPr>
        <w:ind w:left="740" w:hanging="320"/>
        <w:spacing w:after="0"/>
        <w:tabs>
          <w:tab w:leader="none" w:pos="7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GEN1046 (BNT311), our PD-L1x4-1BB product candidate for multiple solid tumors.</w:t>
      </w:r>
    </w:p>
    <w:p>
      <w:pPr>
        <w:spacing w:after="0" w:line="28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Following the success of immune checkpoint-blocking antibodies targeting CTLA-4, PD-1 or PD-L1 in cancer treatment, bispecific antibody approaches represent the next generation of emerging immunotherapies with the potential to further improve clinical efficacy. In addition to bispecific T cell engager formats, which redirect T-cell cytotoxicity to malignant cells, bispecific antibodies can be formatted as tumor-targeted</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immunomodulators and dual immunomodulators. Tumor-targeted immunomodulators direct potent immune costimulation to the tumor-infiltrating immune cells, whereas dual immunomodulators simultaneously address two immunomodulating targets, resulting in blockade of inhibitory targets, depletion of suppressive cells or activation of immune effector cells.</w:t>
      </w:r>
    </w:p>
    <w:p>
      <w:pPr>
        <w:spacing w:after="0" w:line="181" w:lineRule="exact"/>
        <w:rPr>
          <w:sz w:val="20"/>
          <w:szCs w:val="20"/>
          <w:color w:val="auto"/>
        </w:rPr>
      </w:pPr>
    </w:p>
    <w:p>
      <w:pPr>
        <w:jc w:val="both"/>
        <w:ind w:left="200" w:right="200" w:firstLine="441"/>
        <w:spacing w:after="0" w:line="279" w:lineRule="auto"/>
        <w:rPr>
          <w:sz w:val="20"/>
          <w:szCs w:val="20"/>
          <w:color w:val="auto"/>
        </w:rPr>
      </w:pPr>
      <w:r>
        <w:rPr>
          <w:rFonts w:ascii="Arial" w:cs="Arial" w:eastAsia="Arial" w:hAnsi="Arial"/>
          <w:sz w:val="17"/>
          <w:szCs w:val="17"/>
          <w:color w:val="auto"/>
        </w:rPr>
        <w:t>We are developing, in collaboration with Genmab, bispecific antibodies that function as tumor-targeted and dual immunomodulators, applying Genmab’s proprietary DuoBody</w:t>
      </w:r>
      <w:r>
        <w:rPr>
          <w:rFonts w:ascii="Arial" w:cs="Arial" w:eastAsia="Arial" w:hAnsi="Arial"/>
          <w:sz w:val="14"/>
          <w:szCs w:val="14"/>
          <w:color w:val="auto"/>
        </w:rPr>
        <w:t>®</w:t>
      </w:r>
      <w:r>
        <w:rPr>
          <w:rFonts w:ascii="Arial" w:cs="Arial" w:eastAsia="Arial" w:hAnsi="Arial"/>
          <w:sz w:val="17"/>
          <w:szCs w:val="17"/>
          <w:color w:val="auto"/>
        </w:rPr>
        <w:t xml:space="preserve"> technology in combination with our joint target identification and product concept expertise. These next-generation checkpoint immunomodulators are thought to induce beneficial co-stimulation, promoting specific T cell activation, survival, proliferation and T cell effector functions. Our collaboration encompasses three potential classes of immunotherapeutic bispecific antibodies:</w:t>
      </w:r>
    </w:p>
    <w:p>
      <w:pPr>
        <w:spacing w:after="0" w:line="77" w:lineRule="exact"/>
        <w:rPr>
          <w:sz w:val="20"/>
          <w:szCs w:val="20"/>
          <w:color w:val="auto"/>
        </w:rPr>
      </w:pPr>
    </w:p>
    <w:p>
      <w:pPr>
        <w:ind w:left="1180" w:right="220" w:hanging="436"/>
        <w:spacing w:after="0" w:line="264"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Tumor-targeted DuoBody molecules are bispecific antibodies targeting a tumor-specific antigen expressed by the malignant cell, and an immunomodulatory receptor expressed by tumor-infiltrating immune cells. This is expected to induce powerful activation of tumor-specific effector immune cells with reduced risk of immune-related adverse events.</w:t>
      </w:r>
    </w:p>
    <w:p>
      <w:pPr>
        <w:spacing w:after="0" w:line="86"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Cis-activating DuoBody molecules are bispecific antibodies that bind two distinct immunomodulating targets presented on the same cell. These targets are specifically expressed on activated immune cells with the rationale to boost existing immune responses by additive or synergistic effects of dual immunomodulation.</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Trans-activating DuoBody molecules are bispecific antibodies that bind two distinct immunomodulating targets expressed on two separate cell subsets. By simultaneously targeting, for example, effector immune cells and antigen-presenting cells, these compounds are thought to amplify the immune cell priming process and augment subsequent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141605</wp:posOffset>
            </wp:positionV>
            <wp:extent cx="2324100" cy="24784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3241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right="60"/>
        <w:spacing w:after="0" w:line="259" w:lineRule="auto"/>
        <w:rPr>
          <w:sz w:val="20"/>
          <w:szCs w:val="20"/>
          <w:color w:val="auto"/>
        </w:rPr>
      </w:pPr>
      <w:r>
        <w:rPr>
          <w:rFonts w:ascii="Arial" w:cs="Arial" w:eastAsia="Arial" w:hAnsi="Arial"/>
          <w:sz w:val="14"/>
          <w:szCs w:val="14"/>
          <w:b w:val="1"/>
          <w:bCs w:val="1"/>
          <w:color w:val="auto"/>
        </w:rPr>
        <w:t xml:space="preserve">Next-generation checkpoint immunomodulators. </w:t>
      </w:r>
      <w:r>
        <w:rPr>
          <w:rFonts w:ascii="Arial" w:cs="Arial" w:eastAsia="Arial" w:hAnsi="Arial"/>
          <w:sz w:val="14"/>
          <w:szCs w:val="14"/>
          <w:color w:val="auto"/>
        </w:rPr>
        <w:t>Our collaboration with Genmab potentially includes bispecific antibodies from three different classes: trans-activating, cis-activating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tumor-targeting antibodies.</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Next-generation Checkpoint Immunomodulator Development Plan</w:t>
      </w:r>
    </w:p>
    <w:p>
      <w:pPr>
        <w:spacing w:after="0" w:line="117" w:lineRule="exact"/>
        <w:rPr>
          <w:sz w:val="20"/>
          <w:szCs w:val="20"/>
          <w:color w:val="auto"/>
        </w:rPr>
      </w:pPr>
    </w:p>
    <w:p>
      <w:pPr>
        <w:ind w:left="200" w:right="620" w:firstLine="441"/>
        <w:spacing w:after="0" w:line="264" w:lineRule="auto"/>
        <w:rPr>
          <w:sz w:val="20"/>
          <w:szCs w:val="20"/>
          <w:color w:val="auto"/>
        </w:rPr>
      </w:pPr>
      <w:r>
        <w:rPr>
          <w:rFonts w:ascii="Arial" w:cs="Arial" w:eastAsia="Arial" w:hAnsi="Arial"/>
          <w:sz w:val="18"/>
          <w:szCs w:val="18"/>
          <w:color w:val="auto"/>
        </w:rPr>
        <w:t>We are currently developing two next-generation checkpoint immunomodulator product candidates in collaboration with Genmab: GEN1046 (BNT311), our jointly owned PDL1x4-1BB bispecific antibody, and GEN1042 (BNT312), our jointly owned CD40x4-1BB bispecific antibody.</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Candidate</w:t>
            </w:r>
          </w:p>
        </w:tc>
        <w:tc>
          <w:tcPr>
            <w:tcW w:w="400" w:type="dxa"/>
            <w:vAlign w:val="bottom"/>
          </w:tcPr>
          <w:p>
            <w:pPr>
              <w:spacing w:after="0"/>
              <w:rPr>
                <w:sz w:val="16"/>
                <w:szCs w:val="16"/>
                <w:color w:val="auto"/>
              </w:rPr>
            </w:pP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Targets</w:t>
            </w:r>
          </w:p>
        </w:tc>
        <w:tc>
          <w:tcPr>
            <w:tcW w:w="200" w:type="dxa"/>
            <w:vAlign w:val="bottom"/>
          </w:tcPr>
          <w:p>
            <w:pPr>
              <w:spacing w:after="0"/>
              <w:rPr>
                <w:sz w:val="16"/>
                <w:szCs w:val="16"/>
                <w:color w:val="auto"/>
              </w:rPr>
            </w:pPr>
          </w:p>
        </w:tc>
        <w:tc>
          <w:tcPr>
            <w:tcW w:w="4960" w:type="dxa"/>
            <w:vAlign w:val="bottom"/>
          </w:tcPr>
          <w:p>
            <w:pPr>
              <w:ind w:left="1880"/>
              <w:spacing w:after="0"/>
              <w:rPr>
                <w:sz w:val="20"/>
                <w:szCs w:val="20"/>
                <w:color w:val="auto"/>
              </w:rPr>
            </w:pPr>
            <w:r>
              <w:rPr>
                <w:rFonts w:ascii="Arial" w:cs="Arial" w:eastAsia="Arial" w:hAnsi="Arial"/>
                <w:sz w:val="14"/>
                <w:szCs w:val="14"/>
                <w:b w:val="1"/>
                <w:bCs w:val="1"/>
                <w:color w:val="auto"/>
              </w:rPr>
              <w:t>Development Phase</w:t>
            </w:r>
          </w:p>
        </w:tc>
        <w:tc>
          <w:tcPr>
            <w:tcW w:w="140" w:type="dxa"/>
            <w:vAlign w:val="bottom"/>
          </w:tcPr>
          <w:p>
            <w:pPr>
              <w:spacing w:after="0"/>
              <w:rPr>
                <w:sz w:val="16"/>
                <w:szCs w:val="16"/>
                <w:color w:val="auto"/>
              </w:rPr>
            </w:pPr>
          </w:p>
        </w:tc>
        <w:tc>
          <w:tcPr>
            <w:tcW w:w="1980" w:type="dxa"/>
            <w:vAlign w:val="bottom"/>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0"/>
              </w:rPr>
              <w:t>GEN1046</w:t>
            </w:r>
          </w:p>
        </w:tc>
        <w:tc>
          <w:tcPr>
            <w:tcW w:w="126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(BNT311)</w:t>
            </w:r>
          </w:p>
        </w:tc>
        <w:tc>
          <w:tcPr>
            <w:tcW w:w="400" w:type="dxa"/>
            <w:vAlign w:val="bottom"/>
          </w:tcPr>
          <w:p>
            <w:pPr>
              <w:spacing w:after="0"/>
              <w:rPr>
                <w:sz w:val="16"/>
                <w:szCs w:val="16"/>
                <w:color w:val="auto"/>
              </w:rPr>
            </w:pPr>
          </w:p>
        </w:tc>
        <w:tc>
          <w:tcPr>
            <w:tcW w:w="14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PD-L1x4-1BB</w:t>
            </w:r>
          </w:p>
        </w:tc>
        <w:tc>
          <w:tcPr>
            <w:tcW w:w="200" w:type="dxa"/>
            <w:vAlign w:val="bottom"/>
          </w:tcPr>
          <w:p>
            <w:pPr>
              <w:spacing w:after="0"/>
              <w:rPr>
                <w:sz w:val="16"/>
                <w:szCs w:val="16"/>
                <w:color w:val="auto"/>
              </w:rPr>
            </w:pPr>
          </w:p>
        </w:tc>
        <w:tc>
          <w:tcPr>
            <w:tcW w:w="4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Phase 1/2a trial in multiple solid tumors</w:t>
            </w:r>
          </w:p>
        </w:tc>
        <w:tc>
          <w:tcPr>
            <w:tcW w:w="140" w:type="dxa"/>
            <w:vAlign w:val="bottom"/>
          </w:tcPr>
          <w:p>
            <w:pPr>
              <w:spacing w:after="0"/>
              <w:rPr>
                <w:sz w:val="16"/>
                <w:szCs w:val="16"/>
                <w:color w:val="auto"/>
              </w:rPr>
            </w:pPr>
          </w:p>
        </w:tc>
        <w:tc>
          <w:tcPr>
            <w:tcW w:w="19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Data update in 1H 2021</w:t>
            </w:r>
          </w:p>
        </w:tc>
      </w:tr>
      <w:tr>
        <w:trPr>
          <w:trHeight w:val="230"/>
        </w:trPr>
        <w:tc>
          <w:tcPr>
            <w:tcW w:w="1920" w:type="dxa"/>
            <w:vAlign w:val="bottom"/>
            <w:gridSpan w:val="2"/>
          </w:tcPr>
          <w:p>
            <w:pPr>
              <w:jc w:val="right"/>
              <w:ind w:right="310"/>
              <w:spacing w:after="0"/>
              <w:rPr>
                <w:sz w:val="20"/>
                <w:szCs w:val="20"/>
                <w:color w:val="auto"/>
              </w:rPr>
            </w:pPr>
            <w:r>
              <w:rPr>
                <w:rFonts w:ascii="Arial" w:cs="Arial" w:eastAsia="Arial" w:hAnsi="Arial"/>
                <w:sz w:val="18"/>
                <w:szCs w:val="18"/>
                <w:color w:val="auto"/>
                <w:w w:val="92"/>
              </w:rPr>
              <w:t>GEN1042 (BNT312)</w:t>
            </w:r>
          </w:p>
        </w:tc>
        <w:tc>
          <w:tcPr>
            <w:tcW w:w="1840" w:type="dxa"/>
            <w:vAlign w:val="bottom"/>
            <w:gridSpan w:val="2"/>
          </w:tcPr>
          <w:p>
            <w:pPr>
              <w:ind w:left="400"/>
              <w:spacing w:after="0"/>
              <w:rPr>
                <w:sz w:val="20"/>
                <w:szCs w:val="20"/>
                <w:color w:val="auto"/>
              </w:rPr>
            </w:pPr>
            <w:r>
              <w:rPr>
                <w:rFonts w:ascii="Arial" w:cs="Arial" w:eastAsia="Arial" w:hAnsi="Arial"/>
                <w:sz w:val="18"/>
                <w:szCs w:val="18"/>
                <w:color w:val="auto"/>
              </w:rPr>
              <w:t>CD-40x4-1BB</w:t>
            </w: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Phase 1/2a trial in multiple solid tumors</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ind w:left="1180" w:hanging="544"/>
        <w:spacing w:after="0"/>
        <w:tabs>
          <w:tab w:leader="none" w:pos="11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Antibody Discovery Engines</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believe that our multiple antibody discovery engines significantly expand our targeting repertoire and enable us to directly, rapidly and efficiently produce new mAb candidates. In addition, antigen-binding domain sequences identified through our antibody discovery engines also feed into our proprietary CAR T cell and mRNA-encoded RiboMab platforms as well as our next-generation checkpoint immunomodulator collaboration. For instance, binders to human 4-1BB were identified from a previous antibody generation campaign and are currently under clinical and preclinical development as part of our next-generation checkpoint immunomodulator collaboration with Genmab. HuMab, our human antibody discovery engine acquired from MabVax Therapeutics in 2019, led to the clinical development of our fully human IgG1 monoclonal antibody product candidate targeting Sialyl Lewis</w:t>
      </w:r>
      <w:r>
        <w:rPr>
          <w:rFonts w:ascii="Arial" w:cs="Arial" w:eastAsia="Arial" w:hAnsi="Arial"/>
          <w:sz w:val="13"/>
          <w:szCs w:val="13"/>
          <w:color w:val="auto"/>
        </w:rPr>
        <w:t>a</w:t>
      </w:r>
      <w:r>
        <w:rPr>
          <w:rFonts w:ascii="Arial" w:cs="Arial" w:eastAsia="Arial" w:hAnsi="Arial"/>
          <w:sz w:val="16"/>
          <w:szCs w:val="16"/>
          <w:color w:val="auto"/>
        </w:rPr>
        <w:t xml:space="preserve"> (sLe</w:t>
      </w:r>
      <w:r>
        <w:rPr>
          <w:rFonts w:ascii="Arial" w:cs="Arial" w:eastAsia="Arial" w:hAnsi="Arial"/>
          <w:sz w:val="13"/>
          <w:szCs w:val="13"/>
          <w:color w:val="auto"/>
        </w:rPr>
        <w:t>a</w:t>
      </w:r>
      <w:r>
        <w:rPr>
          <w:rFonts w:ascii="Arial" w:cs="Arial" w:eastAsia="Arial" w:hAnsi="Arial"/>
          <w:sz w:val="16"/>
          <w:szCs w:val="16"/>
          <w:color w:val="auto"/>
        </w:rPr>
        <w:t>), a carbohydrate moiety that is present in over 90% of pancreatic and a large percentage of gastrointestinal cancers.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1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Rabbit-based Antibody Discovery Engine</w:t>
      </w:r>
    </w:p>
    <w:p>
      <w:pPr>
        <w:spacing w:after="0" w:line="117"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With the acquisition of MAB Discovery GmbH’s antibody generation unit in 2019, we integrated a unique and proprietary rabbit-based antibody discovery platform that can generate and develop high quality, functional mAbs targeting traditional proteins and receptors as well as a wide variety of more challenging targets. Rabbit monoclonal antibodies are highly diverse and do not require affinity maturation, due to consistently high affinities.</w:t>
      </w:r>
    </w:p>
    <w:p>
      <w:pPr>
        <w:ind w:left="200"/>
        <w:spacing w:after="0" w:line="302" w:lineRule="auto"/>
        <w:rPr>
          <w:sz w:val="20"/>
          <w:szCs w:val="20"/>
          <w:color w:val="auto"/>
        </w:rPr>
      </w:pPr>
      <w:r>
        <w:rPr>
          <w:rFonts w:ascii="Arial" w:cs="Arial" w:eastAsia="Arial" w:hAnsi="Arial"/>
          <w:sz w:val="16"/>
          <w:szCs w:val="16"/>
          <w:color w:val="auto"/>
        </w:rPr>
        <w:t>They often recognize epitopes on human antigens that are not immunogenic in rodents, thus increasing the total number of targetable epitopes. The mechanisms of antibody diversification in rabbits allow an easy and quick translation of preclinical data into the clinic with an improved probability of success. We established a streamlined semi-automated process of rabbit immunization for the efficient production of high-affinity rabbit 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125095</wp:posOffset>
            </wp:positionV>
            <wp:extent cx="5205730" cy="3327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0573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Our rabbit-based antibody discovery engine. </w:t>
      </w:r>
      <w:r>
        <w:rPr>
          <w:rFonts w:ascii="Arial" w:cs="Arial" w:eastAsia="Arial" w:hAnsi="Arial"/>
          <w:sz w:val="14"/>
          <w:szCs w:val="14"/>
          <w:color w:val="auto"/>
        </w:rPr>
        <w:t>The figure above depicts our semi-automated process for the discovery and production of high-affinity rabbit mAbs.</w:t>
      </w:r>
    </w:p>
    <w:p>
      <w:pPr>
        <w:spacing w:after="0" w:line="1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240" w:top="460" w:right="5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430"/>
        <w:spacing w:after="0"/>
        <w:tabs>
          <w:tab w:leader="none" w:pos="1620" w:val="left"/>
        </w:tabs>
        <w:numPr>
          <w:ilvl w:val="0"/>
          <w:numId w:val="1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Fully Human Antibody Discovery Engine</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Our HuMab discovery technology focuses on abnormal carbohydrate targets upregulated on solid tumors. Aberrant glycosylation is a common phenotypic change of cancer cells that mainly affects the outer part of glycans. These abnormal carbohydrate structures are known as tumor-associated carbohydrate antigens, or TACAs, and are associated with malignancy grade, invasion, metastasis and poor prognosis. TACAs are considered promising novel targets for therapeutic intervention using, in particular, mAbs or CAR-T cells. However, TACAs usually induce only low-affinity humoral immune responses, since carbohydrate moieties do not trigger the necessary T cell responses.</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Using B cell sorting, hit identification, sequencing, antibody production and high-throughput antibody screening, we are able to select optimal TACA-specific antibodies from multiple clinically confirmed immunotherapy responders. All antibodies emanating from this platform are fully human with no need for additional humanization at minimal risk for immunogenicity.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141605</wp:posOffset>
            </wp:positionV>
            <wp:extent cx="5188585" cy="22212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885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0" w:right="140"/>
        <w:spacing w:after="0" w:line="259" w:lineRule="auto"/>
        <w:rPr>
          <w:sz w:val="20"/>
          <w:szCs w:val="20"/>
          <w:color w:val="auto"/>
        </w:rPr>
      </w:pPr>
      <w:r>
        <w:rPr>
          <w:rFonts w:ascii="Arial" w:cs="Arial" w:eastAsia="Arial" w:hAnsi="Arial"/>
          <w:sz w:val="14"/>
          <w:szCs w:val="14"/>
          <w:b w:val="1"/>
          <w:bCs w:val="1"/>
          <w:color w:val="auto"/>
        </w:rPr>
        <w:t xml:space="preserve">Our fully human antibody discovery engine. </w:t>
      </w:r>
      <w:r>
        <w:rPr>
          <w:rFonts w:ascii="Arial" w:cs="Arial" w:eastAsia="Arial" w:hAnsi="Arial"/>
          <w:sz w:val="14"/>
          <w:szCs w:val="14"/>
          <w:color w:val="auto"/>
        </w:rPr>
        <w:t>The figure above shows our proprietary approach to the discovery and development of novel fully human antibody therapeutic and diagnostic</w:t>
      </w:r>
      <w:r>
        <w:rPr>
          <w:rFonts w:ascii="Arial" w:cs="Arial" w:eastAsia="Arial" w:hAnsi="Arial"/>
          <w:sz w:val="14"/>
          <w:szCs w:val="14"/>
          <w:b w:val="1"/>
          <w:bCs w:val="1"/>
          <w:color w:val="auto"/>
        </w:rPr>
        <w:t xml:space="preserve"> </w:t>
      </w:r>
      <w:r>
        <w:rPr>
          <w:rFonts w:ascii="Arial" w:cs="Arial" w:eastAsia="Arial" w:hAnsi="Arial"/>
          <w:sz w:val="14"/>
          <w:szCs w:val="14"/>
          <w:color w:val="auto"/>
        </w:rPr>
        <w:t>agents.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Targeted Cancer Antibody Development Plan</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Candidate</w:t>
            </w:r>
          </w:p>
        </w:tc>
        <w:tc>
          <w:tcPr>
            <w:tcW w:w="1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Targets</w:t>
            </w:r>
          </w:p>
        </w:tc>
        <w:tc>
          <w:tcPr>
            <w:tcW w:w="200" w:type="dxa"/>
            <w:vAlign w:val="bottom"/>
          </w:tcPr>
          <w:p>
            <w:pPr>
              <w:spacing w:after="0"/>
              <w:rPr>
                <w:sz w:val="16"/>
                <w:szCs w:val="16"/>
                <w:color w:val="auto"/>
              </w:rPr>
            </w:pPr>
          </w:p>
        </w:tc>
        <w:tc>
          <w:tcPr>
            <w:tcW w:w="5400" w:type="dxa"/>
            <w:vAlign w:val="bottom"/>
            <w:tcBorders>
              <w:bottom w:val="single" w:sz="8" w:color="auto"/>
            </w:tcBorders>
          </w:tcPr>
          <w:p>
            <w:pPr>
              <w:jc w:val="right"/>
              <w:ind w:right="2019"/>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89"/>
        </w:trPr>
        <w:tc>
          <w:tcPr>
            <w:tcW w:w="2120" w:type="dxa"/>
            <w:vAlign w:val="bottom"/>
            <w:gridSpan w:val="2"/>
          </w:tcPr>
          <w:p>
            <w:pPr>
              <w:spacing w:after="0" w:line="189" w:lineRule="exact"/>
              <w:rPr>
                <w:sz w:val="20"/>
                <w:szCs w:val="20"/>
                <w:color w:val="auto"/>
              </w:rPr>
            </w:pPr>
            <w:r>
              <w:rPr>
                <w:rFonts w:ascii="Arial" w:cs="Arial" w:eastAsia="Arial" w:hAnsi="Arial"/>
                <w:sz w:val="18"/>
                <w:szCs w:val="18"/>
                <w:color w:val="auto"/>
              </w:rPr>
              <w:t>MVT-5873 (BNT321)</w:t>
            </w:r>
          </w:p>
        </w:tc>
        <w:tc>
          <w:tcPr>
            <w:tcW w:w="520" w:type="dxa"/>
            <w:vAlign w:val="bottom"/>
          </w:tcPr>
          <w:p>
            <w:pPr>
              <w:spacing w:after="0"/>
              <w:rPr>
                <w:sz w:val="16"/>
                <w:szCs w:val="16"/>
                <w:color w:val="auto"/>
              </w:rPr>
            </w:pPr>
          </w:p>
        </w:tc>
        <w:tc>
          <w:tcPr>
            <w:tcW w:w="660" w:type="dxa"/>
            <w:vAlign w:val="bottom"/>
          </w:tcPr>
          <w:p>
            <w:pPr>
              <w:spacing w:after="0" w:line="189" w:lineRule="exact"/>
              <w:rPr>
                <w:sz w:val="20"/>
                <w:szCs w:val="20"/>
                <w:color w:val="auto"/>
              </w:rPr>
            </w:pPr>
            <w:r>
              <w:rPr>
                <w:rFonts w:ascii="Arial" w:cs="Arial" w:eastAsia="Arial" w:hAnsi="Arial"/>
                <w:sz w:val="18"/>
                <w:szCs w:val="18"/>
                <w:color w:val="auto"/>
              </w:rPr>
              <w:t>sLe</w:t>
            </w:r>
            <w:r>
              <w:rPr>
                <w:rFonts w:ascii="Arial" w:cs="Arial" w:eastAsia="Arial" w:hAnsi="Arial"/>
                <w:sz w:val="15"/>
                <w:szCs w:val="15"/>
                <w:color w:val="auto"/>
              </w:rPr>
              <w:t>a</w:t>
            </w:r>
          </w:p>
        </w:tc>
        <w:tc>
          <w:tcPr>
            <w:tcW w:w="200" w:type="dxa"/>
            <w:vAlign w:val="bottom"/>
          </w:tcPr>
          <w:p>
            <w:pPr>
              <w:spacing w:after="0"/>
              <w:rPr>
                <w:sz w:val="16"/>
                <w:szCs w:val="16"/>
                <w:color w:val="auto"/>
              </w:rPr>
            </w:pPr>
          </w:p>
        </w:tc>
        <w:tc>
          <w:tcPr>
            <w:tcW w:w="5400" w:type="dxa"/>
            <w:vAlign w:val="bottom"/>
          </w:tcPr>
          <w:p>
            <w:pPr>
              <w:jc w:val="right"/>
              <w:ind w:right="859"/>
              <w:spacing w:after="0" w:line="189" w:lineRule="exact"/>
              <w:rPr>
                <w:sz w:val="20"/>
                <w:szCs w:val="20"/>
                <w:color w:val="auto"/>
              </w:rPr>
            </w:pPr>
            <w:r>
              <w:rPr>
                <w:rFonts w:ascii="Arial" w:cs="Arial" w:eastAsia="Arial" w:hAnsi="Arial"/>
                <w:sz w:val="18"/>
                <w:szCs w:val="18"/>
                <w:color w:val="auto"/>
                <w:w w:val="90"/>
              </w:rPr>
              <w:t>Phase 1 basket trial in multiple solid tumors; currently paused</w:t>
            </w:r>
          </w:p>
        </w:tc>
        <w:tc>
          <w:tcPr>
            <w:tcW w:w="160" w:type="dxa"/>
            <w:vAlign w:val="bottom"/>
          </w:tcPr>
          <w:p>
            <w:pPr>
              <w:spacing w:after="0"/>
              <w:rPr>
                <w:sz w:val="16"/>
                <w:szCs w:val="16"/>
                <w:color w:val="auto"/>
              </w:rPr>
            </w:pPr>
          </w:p>
        </w:tc>
        <w:tc>
          <w:tcPr>
            <w:tcW w:w="1980" w:type="dxa"/>
            <w:vAlign w:val="bottom"/>
          </w:tcPr>
          <w:p>
            <w:pPr>
              <w:spacing w:after="0" w:line="189" w:lineRule="exact"/>
              <w:rPr>
                <w:sz w:val="20"/>
                <w:szCs w:val="20"/>
                <w:color w:val="auto"/>
              </w:rPr>
            </w:pPr>
            <w:r>
              <w:rPr>
                <w:rFonts w:ascii="Arial" w:cs="Arial" w:eastAsia="Arial" w:hAnsi="Arial"/>
                <w:sz w:val="18"/>
                <w:szCs w:val="18"/>
                <w:color w:val="auto"/>
                <w:w w:val="89"/>
              </w:rPr>
              <w:t>Resume Phase 1 trial in 2H</w:t>
            </w:r>
          </w:p>
        </w:tc>
      </w:tr>
      <w:tr>
        <w:trPr>
          <w:trHeight w:val="230"/>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2019</w:t>
            </w:r>
          </w:p>
        </w:tc>
      </w:tr>
      <w:tr>
        <w:trPr>
          <w:trHeight w:val="365"/>
        </w:trPr>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0" w:type="dxa"/>
            <w:vAlign w:val="bottom"/>
            <w:gridSpan w:val="2"/>
          </w:tcPr>
          <w:p>
            <w:pPr>
              <w:jc w:val="right"/>
              <w:ind w:right="3179"/>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6"/>
          <w:szCs w:val="16"/>
          <w:b w:val="1"/>
          <w:bCs w:val="1"/>
          <w:color w:val="auto"/>
        </w:rPr>
        <w:t>Our Small Molecule Immunomodulator Drug Class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 a glance: Our Small Molecule Immunomodulators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0033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7700" cy="1003300"/>
                    </a:xfrm>
                    <a:prstGeom prst="rect">
                      <a:avLst/>
                    </a:prstGeom>
                    <a:noFill/>
                  </pic:spPr>
                </pic:pic>
              </a:graphicData>
            </a:graphic>
          </wp:anchor>
        </w:drawing>
      </w:r>
    </w:p>
    <w:p>
      <w:pPr>
        <w:spacing w:after="0" w:line="107" w:lineRule="exact"/>
        <w:rPr>
          <w:sz w:val="20"/>
          <w:szCs w:val="20"/>
          <w:color w:val="auto"/>
        </w:rPr>
      </w:pPr>
    </w:p>
    <w:p>
      <w:pPr>
        <w:ind w:left="560" w:right="140" w:hanging="266"/>
        <w:spacing w:after="0" w:line="282" w:lineRule="auto"/>
        <w:tabs>
          <w:tab w:leader="none" w:pos="544"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Concept: </w:t>
      </w:r>
      <w:r>
        <w:rPr>
          <w:rFonts w:ascii="Arial" w:cs="Arial" w:eastAsia="Arial" w:hAnsi="Arial"/>
          <w:sz w:val="18"/>
          <w:szCs w:val="18"/>
          <w:color w:val="auto"/>
        </w:rPr>
        <w:t>Small molecule therapies, with a specific focus on TLRs, that can be used synergistically with other cancer therapeutics, including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in our portfolio.</w:t>
      </w:r>
    </w:p>
    <w:p>
      <w:pPr>
        <w:spacing w:after="0" w:line="67" w:lineRule="exact"/>
        <w:rPr>
          <w:rFonts w:ascii="Arial" w:cs="Arial" w:eastAsia="Arial" w:hAnsi="Arial"/>
          <w:sz w:val="18"/>
          <w:szCs w:val="18"/>
          <w:color w:val="auto"/>
        </w:rPr>
      </w:pPr>
    </w:p>
    <w:p>
      <w:pPr>
        <w:ind w:left="540" w:hanging="246"/>
        <w:spacing w:after="0"/>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Development Approach: </w:t>
      </w:r>
      <w:r>
        <w:rPr>
          <w:rFonts w:ascii="Arial" w:cs="Arial" w:eastAsia="Arial" w:hAnsi="Arial"/>
          <w:sz w:val="18"/>
          <w:szCs w:val="18"/>
          <w:color w:val="auto"/>
        </w:rPr>
        <w:t>Worldwide rights; wholly-owned.</w:t>
      </w:r>
    </w:p>
    <w:p>
      <w:pPr>
        <w:spacing w:after="0" w:line="130" w:lineRule="exact"/>
        <w:rPr>
          <w:rFonts w:ascii="Arial" w:cs="Arial" w:eastAsia="Arial" w:hAnsi="Arial"/>
          <w:sz w:val="18"/>
          <w:szCs w:val="18"/>
          <w:color w:val="auto"/>
        </w:rPr>
      </w:pPr>
    </w:p>
    <w:p>
      <w:pPr>
        <w:ind w:left="540" w:hanging="246"/>
        <w:spacing w:after="0"/>
        <w:tabs>
          <w:tab w:leader="none" w:pos="54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Lead Candidate: </w:t>
      </w:r>
      <w:r>
        <w:rPr>
          <w:rFonts w:ascii="Arial" w:cs="Arial" w:eastAsia="Arial" w:hAnsi="Arial"/>
          <w:sz w:val="18"/>
          <w:szCs w:val="18"/>
          <w:color w:val="auto"/>
        </w:rPr>
        <w:t>BNT411, our TLR7 agonist product candidate intended for combination therapies.</w:t>
      </w:r>
    </w:p>
    <w:p>
      <w:pPr>
        <w:spacing w:after="0" w:line="364"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Small molecule cancer therapeutics can be used to regulate cancer growth, halt blood vessel formation in tumors, deliver toxins to cancer cells and mark cancer cells for destruction by the immune system. Unlike larger antibody-based cancer therapies, small molecule compounds are often developed for targets located within cells since they can enter the cells more easily as a result of their physical properties and low molecular weight. Small molecules also often have other intrinsic benefits including relative ease and cost of production compared to larger compounds, as well as more frequently having the potential for oral administration to patients. They can also often be used synergistically in combination with other therapeutics such as mRNA, checkpoint inhibitors, radiation therapy and chemotherapy.</w:t>
      </w:r>
    </w:p>
    <w:p>
      <w:pPr>
        <w:spacing w:after="0" w:line="178"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We aim to discover and develop the next generation of small molecule immunomodulatory compounds to improve the standard of care. We have a team of approximately 25 scientists and technicians, with extensive small molecule experience, focused on drug discovery.</w:t>
      </w:r>
    </w:p>
    <w:p>
      <w:pPr>
        <w:spacing w:after="0" w:line="14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Our immunomodulatory small molecule product class focuses on a range of endosomal and intracellular targets that are known to stimulate the activity of a wide range of immune cells. We have a particular emphasis on TLRs. TLRs are a family of pattern recognition receptors that function as primary sensors of the innate immune system to recognize pathogens. We believe TLRs represent a promising target class for cancer immunotherapy, particularly for inflammatory re-programming of the tumor microenvironment. In many cancers, tumors are protected by an anti-inflammatory environment, which reduces the ability of the immune system to attack the cancer cells. TLR7 agonists are able to initiate a direct cellular immune response, for example, by activating immature dendritic cells, cytotoxic T cells and NK cells, as well as stimulating the release of signal molecules such as cytokines and chemokines including IFN-α and IP-10, which can be directed against tumor cells. The activation of the innate and adaptive immune system and the release of cytokines and chemokines, for instance by our small molecule TLR7 agonist, results in the potent stimulation of antigen-specific T cells, B cells and innate immune cells such as NK cells and macrophages.</w:t>
      </w:r>
    </w:p>
    <w:p>
      <w:pPr>
        <w:spacing w:after="0" w:line="18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initial focus is on small molecule product candidates that activate the innate and adaptive immune system via TLR7 and are designed to be used in combination with chemotherapeutics as well as checkpoint inhibitors.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Small Molecule Immunomodulator Development Plan</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Our initial development candidate is a potent TLR7 agonist, which we plan to develop as a combination therapy for small cell lung cancer and other solid tumors.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Candidate</w:t>
            </w:r>
          </w:p>
        </w:tc>
        <w:tc>
          <w:tcPr>
            <w:tcW w:w="220" w:type="dxa"/>
            <w:vAlign w:val="bottom"/>
          </w:tcPr>
          <w:p>
            <w:pPr>
              <w:spacing w:after="0"/>
              <w:rPr>
                <w:sz w:val="16"/>
                <w:szCs w:val="16"/>
                <w:color w:val="auto"/>
              </w:rPr>
            </w:pPr>
          </w:p>
        </w:tc>
        <w:tc>
          <w:tcPr>
            <w:tcW w:w="17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Target</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Development Phase</w:t>
            </w:r>
          </w:p>
        </w:tc>
        <w:tc>
          <w:tcPr>
            <w:tcW w:w="160" w:type="dxa"/>
            <w:vAlign w:val="bottom"/>
          </w:tcPr>
          <w:p>
            <w:pPr>
              <w:spacing w:after="0"/>
              <w:rPr>
                <w:sz w:val="16"/>
                <w:szCs w:val="16"/>
                <w:color w:val="auto"/>
              </w:rPr>
            </w:pPr>
          </w:p>
        </w:tc>
        <w:tc>
          <w:tcPr>
            <w:tcW w:w="1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Next Potential Milestone</w:t>
            </w:r>
          </w:p>
        </w:tc>
      </w:tr>
      <w:tr>
        <w:trPr>
          <w:trHeight w:val="195"/>
        </w:trPr>
        <w:tc>
          <w:tcPr>
            <w:tcW w:w="3180" w:type="dxa"/>
            <w:vAlign w:val="bottom"/>
          </w:tcPr>
          <w:p>
            <w:pPr>
              <w:ind w:left="1260"/>
              <w:spacing w:after="0" w:line="195" w:lineRule="exact"/>
              <w:rPr>
                <w:sz w:val="20"/>
                <w:szCs w:val="20"/>
                <w:color w:val="auto"/>
              </w:rPr>
            </w:pPr>
            <w:r>
              <w:rPr>
                <w:rFonts w:ascii="Arial" w:cs="Arial" w:eastAsia="Arial" w:hAnsi="Arial"/>
                <w:sz w:val="18"/>
                <w:szCs w:val="18"/>
                <w:color w:val="auto"/>
              </w:rPr>
              <w:t>BNT411</w:t>
            </w:r>
          </w:p>
        </w:tc>
        <w:tc>
          <w:tcPr>
            <w:tcW w:w="220" w:type="dxa"/>
            <w:vAlign w:val="bottom"/>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TLR7</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spacing w:after="0" w:line="195" w:lineRule="exact"/>
              <w:rPr>
                <w:sz w:val="20"/>
                <w:szCs w:val="20"/>
                <w:color w:val="auto"/>
              </w:rPr>
            </w:pPr>
            <w:r>
              <w:rPr>
                <w:rFonts w:ascii="Arial" w:cs="Arial" w:eastAsia="Arial" w:hAnsi="Arial"/>
                <w:sz w:val="18"/>
                <w:szCs w:val="18"/>
                <w:color w:val="auto"/>
              </w:rPr>
              <w:t>Preclinical</w:t>
            </w:r>
          </w:p>
        </w:tc>
        <w:tc>
          <w:tcPr>
            <w:tcW w:w="160" w:type="dxa"/>
            <w:vAlign w:val="bottom"/>
          </w:tcPr>
          <w:p>
            <w:pPr>
              <w:spacing w:after="0"/>
              <w:rPr>
                <w:sz w:val="16"/>
                <w:szCs w:val="16"/>
                <w:color w:val="auto"/>
              </w:rPr>
            </w:pPr>
          </w:p>
        </w:tc>
        <w:tc>
          <w:tcPr>
            <w:tcW w:w="1980" w:type="dxa"/>
            <w:vAlign w:val="bottom"/>
          </w:tcPr>
          <w:p>
            <w:pPr>
              <w:spacing w:after="0" w:line="195" w:lineRule="exact"/>
              <w:rPr>
                <w:sz w:val="20"/>
                <w:szCs w:val="20"/>
                <w:color w:val="auto"/>
              </w:rPr>
            </w:pPr>
            <w:r>
              <w:rPr>
                <w:rFonts w:ascii="Arial" w:cs="Arial" w:eastAsia="Arial" w:hAnsi="Arial"/>
                <w:sz w:val="18"/>
                <w:szCs w:val="18"/>
                <w:color w:val="auto"/>
                <w:w w:val="95"/>
              </w:rPr>
              <w:t>Initiate Phase 1 trial in 1H</w:t>
            </w:r>
          </w:p>
        </w:tc>
      </w:tr>
      <w:tr>
        <w:trPr>
          <w:trHeight w:val="230"/>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2020</w:t>
            </w:r>
          </w:p>
        </w:tc>
      </w:tr>
      <w:tr>
        <w:trPr>
          <w:trHeight w:val="365"/>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XII. OUR PRODUCT CANDIDATES</w:t>
      </w:r>
    </w:p>
    <w:p>
      <w:pPr>
        <w:spacing w:after="0" w:line="94"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We are developing a broad and deep pipeline of over 20 product candidates across our four drug classes. Our product candidates are currently being investigated in eight clinical trials, and we expect to have up to 10 product candidates in the clinic by the end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037580" cy="637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7580" cy="637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hanging="116"/>
        <w:spacing w:after="0"/>
        <w:tabs>
          <w:tab w:leader="none" w:pos="320" w:val="left"/>
        </w:tabs>
        <w:numPr>
          <w:ilvl w:val="0"/>
          <w:numId w:val="181"/>
        </w:numPr>
        <w:rPr>
          <w:rFonts w:ascii="Arial" w:cs="Arial" w:eastAsia="Arial" w:hAnsi="Arial"/>
          <w:sz w:val="9"/>
          <w:szCs w:val="9"/>
          <w:color w:val="auto"/>
        </w:rPr>
      </w:pPr>
      <w:r>
        <w:rPr>
          <w:rFonts w:ascii="Arial" w:cs="Arial" w:eastAsia="Arial" w:hAnsi="Arial"/>
          <w:sz w:val="11"/>
          <w:szCs w:val="11"/>
          <w:color w:val="auto"/>
        </w:rPr>
        <w:t>BNT113 is currently being studied in an investigator-initiated Phase 1 trial</w:t>
      </w:r>
    </w:p>
    <w:p>
      <w:pPr>
        <w:spacing w:after="0" w:line="3"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0"/>
          <w:szCs w:val="10"/>
          <w:color w:val="auto"/>
        </w:rPr>
        <w:t>We are eligible to receive worldwide licenses</w:t>
      </w:r>
    </w:p>
    <w:p>
      <w:pPr>
        <w:spacing w:after="0" w:line="6" w:lineRule="exact"/>
        <w:rPr>
          <w:rFonts w:ascii="Arial" w:cs="Arial" w:eastAsia="Arial" w:hAnsi="Arial"/>
          <w:sz w:val="9"/>
          <w:szCs w:val="9"/>
          <w:color w:val="auto"/>
        </w:rPr>
      </w:pPr>
    </w:p>
    <w:p>
      <w:pPr>
        <w:ind w:left="200"/>
        <w:spacing w:after="0"/>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0"/>
          <w:szCs w:val="10"/>
          <w:color w:val="auto"/>
        </w:rPr>
        <w:t>Protein Replacement Therapy</w:t>
      </w:r>
    </w:p>
    <w:p>
      <w:pPr>
        <w:spacing w:after="0" w:line="6" w:lineRule="exact"/>
        <w:rPr>
          <w:rFonts w:ascii="Arial" w:cs="Arial" w:eastAsia="Arial" w:hAnsi="Arial"/>
          <w:sz w:val="9"/>
          <w:szCs w:val="9"/>
          <w:color w:val="auto"/>
        </w:rPr>
      </w:pPr>
    </w:p>
    <w:p>
      <w:pPr>
        <w:ind w:left="200" w:right="1540"/>
        <w:spacing w:after="0" w:line="281"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0"/>
          <w:szCs w:val="10"/>
          <w:color w:val="auto"/>
        </w:rPr>
        <w:t>We expect this topline data update to include an update on the ongoing study, including patient enrollment numbers, with full efficacy and safety data for an interim update expected in the second half of 2021.</w:t>
      </w:r>
      <w:r>
        <w:rPr>
          <w:rFonts w:ascii="Arial" w:cs="Arial" w:eastAsia="Arial" w:hAnsi="Arial"/>
          <w:sz w:val="9"/>
          <w:szCs w:val="9"/>
          <w:color w:val="auto"/>
        </w:rPr>
        <w:t xml:space="preserve"> 5 </w:t>
      </w:r>
      <w:r>
        <w:rPr>
          <w:rFonts w:ascii="Arial" w:cs="Arial" w:eastAsia="Arial" w:hAnsi="Arial"/>
          <w:sz w:val="10"/>
          <w:szCs w:val="10"/>
          <w:color w:val="auto"/>
        </w:rPr>
        <w:t>As the trial is sponsored and conducted by Sanofi, the timing of data updates is not under our control, and is subject to change by Sanofi.</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0840"/>
          </w:cols>
          <w:pgMar w:left="240" w:top="460" w:right="8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80" w:hanging="544"/>
        <w:spacing w:after="0"/>
        <w:tabs>
          <w:tab w:leader="none" w:pos="11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Our mRNA Product Class in Oncology</w:t>
      </w:r>
    </w:p>
    <w:p>
      <w:pPr>
        <w:spacing w:after="0" w:line="135" w:lineRule="exact"/>
        <w:rPr>
          <w:sz w:val="20"/>
          <w:szCs w:val="20"/>
          <w:color w:val="auto"/>
        </w:rPr>
      </w:pPr>
    </w:p>
    <w:p>
      <w:pPr>
        <w:ind w:left="1620" w:hanging="430"/>
        <w:spacing w:after="0"/>
        <w:tabs>
          <w:tab w:leader="none" w:pos="1620" w:val="left"/>
        </w:tabs>
        <w:numPr>
          <w:ilvl w:val="0"/>
          <w:numId w:val="1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FixVac</w:t>
      </w:r>
    </w:p>
    <w:p>
      <w:pPr>
        <w:spacing w:after="0" w:line="117"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FixVac is our wholly-owned, systemic, off-the-shelf mRNA-based cancer immunotherapy platform, from which we are developing several first-in-human and potential first-in-class product candidates. Our FixVac product candidates contain selected combinations of pharmacologically optimized uridine mRNA encoding known cancer-specific shared antigens. FixVac product candidates feature our proprietary immunogenic mRNA backbone and proprietary RNA-LPX delivery formulation, which are designed to enhance stability and translation as well as trigger both innate and adaptive immune responses.</w:t>
      </w:r>
    </w:p>
    <w:p>
      <w:pPr>
        <w:spacing w:after="0" w:line="333" w:lineRule="exact"/>
        <w:rPr>
          <w:sz w:val="20"/>
          <w:szCs w:val="20"/>
          <w:color w:val="auto"/>
        </w:rPr>
      </w:pPr>
    </w:p>
    <w:p>
      <w:pPr>
        <w:ind w:left="2180" w:hanging="545"/>
        <w:spacing w:after="0"/>
        <w:tabs>
          <w:tab w:leader="none" w:pos="21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BNT111: Our FixVac Cancer Immunotherapy for the Treatment of Advanced Melanoma</w:t>
      </w:r>
    </w:p>
    <w:p>
      <w:pPr>
        <w:spacing w:after="0" w:line="121"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We are developing our mRNA-based FixVac product candidate BNT111 for the treatment of advanced melanoma in patients with metastatic tumors and as an adjuvant treatment after tumor resection. We are currently studying BNT111 in an ongoing Phase 1 clinical trial.</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Melanoma</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Melanoma is an increasingly prevalent, deadly form of skin cancer in which melanocytes, which are the cells that color the skin, form malignant cells. With 132,000 new cases diagnosed globally each year, melanoma constitutes less than five percent of all skin cancers. In recent decades, however, the incidence rate of melanoma has risen faster than almost any other cancer type, on average by 1.5% per year over the last 10 years. In 2018, approximately 91,000 new melanoma cases were diagnosed in the United States, representing 5.3% of all new cancer cases in the United States.</w:t>
      </w:r>
    </w:p>
    <w:p>
      <w:pPr>
        <w:spacing w:after="0" w:line="154"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Melanoma is the most lethal form of skin cancer, accounting for the majority of skin cancer deaths. There were an estimated 9,300 deaths from melanoma in the United States in 2018. While the five-year survival rate for melanoma, regardless of disease stage, is approximately 91.8%, patients with stage III melanoma have a five-year survival rate of approximately 63%. The five-year survival rate for metastatic melanoma (stage IV) is approximately 20%.</w:t>
      </w:r>
    </w:p>
    <w:p>
      <w:pPr>
        <w:spacing w:after="0" w:line="187" w:lineRule="exact"/>
        <w:rPr>
          <w:sz w:val="20"/>
          <w:szCs w:val="20"/>
          <w:color w:val="auto"/>
        </w:rPr>
      </w:pPr>
    </w:p>
    <w:p>
      <w:pPr>
        <w:jc w:val="both"/>
        <w:ind w:left="200" w:right="580" w:firstLine="441"/>
        <w:spacing w:after="0" w:line="286" w:lineRule="auto"/>
        <w:rPr>
          <w:sz w:val="20"/>
          <w:szCs w:val="20"/>
          <w:color w:val="auto"/>
        </w:rPr>
      </w:pPr>
      <w:r>
        <w:rPr>
          <w:rFonts w:ascii="Arial" w:cs="Arial" w:eastAsia="Arial" w:hAnsi="Arial"/>
          <w:sz w:val="17"/>
          <w:szCs w:val="17"/>
          <w:color w:val="auto"/>
        </w:rPr>
        <w:t>The current treatment regimen involves surgical removal for earlier stages, while a number of targeted therapies, such as BRAF and MEK inhibitors, and checkpoint inhibitors, or CPIs, are approved for advanced disease. CPIs include nivolumab (Opdivo) for advanced or metastatic melanoma after resection, and pembrolizumab (Keytruda) in unresectable or metastatic disease.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BNT111 Targets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BNT111 is designed to elicit an immune response to the following four antigens that have each been found to be associated with melanoma:</w:t>
      </w:r>
    </w:p>
    <w:p>
      <w:pPr>
        <w:spacing w:after="0" w:line="154" w:lineRule="exact"/>
        <w:rPr>
          <w:sz w:val="20"/>
          <w:szCs w:val="20"/>
          <w:color w:val="auto"/>
        </w:rPr>
      </w:pPr>
    </w:p>
    <w:p>
      <w:pPr>
        <w:ind w:left="1180" w:right="220" w:hanging="436"/>
        <w:spacing w:after="0" w:line="277" w:lineRule="auto"/>
        <w:tabs>
          <w:tab w:leader="none" w:pos="11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New York esophageal squamous cell carcinoma 1, or NY-ESO-1, a well-known cancer-testis antigen that is also expressed in numerous cancers, including melanoma;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melanoma-associated antigen A3, or MAGE-A3, which is not expressed in normal tissues, except the testis and the placenta;</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tyrosinase, an enzyme that is required for melanin production and that is produced in increased levels in melanoma;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trans-membrane phosphatase with tensin homology, or TPTE, a novel cancer/testis antigen that we discovered internally.</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60"/>
          </w:cols>
          <w:pgMar w:left="240" w:top="460"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sequenced over 300 melanoma tumors and detected at least one of these four antigens in over 90% of such melanoma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169545</wp:posOffset>
            </wp:positionV>
            <wp:extent cx="5120005" cy="8578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2000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right="160"/>
        <w:spacing w:after="0" w:line="259" w:lineRule="auto"/>
        <w:rPr>
          <w:sz w:val="20"/>
          <w:szCs w:val="20"/>
          <w:color w:val="auto"/>
        </w:rPr>
      </w:pPr>
      <w:r>
        <w:rPr>
          <w:rFonts w:ascii="Arial" w:cs="Arial" w:eastAsia="Arial" w:hAnsi="Arial"/>
          <w:sz w:val="14"/>
          <w:szCs w:val="14"/>
          <w:b w:val="1"/>
          <w:bCs w:val="1"/>
          <w:color w:val="auto"/>
        </w:rPr>
        <w:t xml:space="preserve">BNT111 antigens detected in over 90% of melanoma tumors. </w:t>
      </w:r>
      <w:r>
        <w:rPr>
          <w:rFonts w:ascii="Arial" w:cs="Arial" w:eastAsia="Arial" w:hAnsi="Arial"/>
          <w:sz w:val="14"/>
          <w:szCs w:val="14"/>
          <w:color w:val="auto"/>
        </w:rPr>
        <w:t>The graphic above shows expression of BNT111 target antigens on a patient by patient basis. Each row at the bottom of the</w:t>
      </w:r>
      <w:r>
        <w:rPr>
          <w:rFonts w:ascii="Arial" w:cs="Arial" w:eastAsia="Arial" w:hAnsi="Arial"/>
          <w:sz w:val="14"/>
          <w:szCs w:val="14"/>
          <w:b w:val="1"/>
          <w:bCs w:val="1"/>
          <w:color w:val="auto"/>
        </w:rPr>
        <w:t xml:space="preserve"> </w:t>
      </w:r>
      <w:r>
        <w:rPr>
          <w:rFonts w:ascii="Arial" w:cs="Arial" w:eastAsia="Arial" w:hAnsi="Arial"/>
          <w:sz w:val="14"/>
          <w:szCs w:val="14"/>
          <w:color w:val="auto"/>
        </w:rPr>
        <w:t>graphic represents an antigen, and each vertical line represents a patient, depicting whether or not that patient expressed each antigen.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BNT111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 Trial in Advanced Melanoma Patients (LIPOMERIT study)</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conducting a multi-center, open-label, first-in-human, Phase 1 dose escalation study evaluating the safety and tolerability of multiple intravenous administrations of BNT111 in patients with advanced melanoma. This is the first clinical trial worldwide in which an mRNA-based cancer immunotherapy is administered intravenously for systemic treatment.</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trial employs a conventional 3+3 design in which patients are dosed in groups of three at incrementally greater dosages until the maximum tolerated dose is identified, during the dose escalation phase, which is then followed by expanded dose cohorts. Patients are treated with doses from 7.2µg up to the highest administered dose of 400µg of total mRNA.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July 2019 Interim Data</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of the July 2019 interim cut-off date, 95 patients with metastatic melanoma had been dosed at least once at one of four centers in Germany. Baseline and demographic characteristics were largely as expected for a trial recruiting advanced stage IIIB-IIIC and stage IV melanoma patients with and without measurable disease. Approximately half of the patients were resected and had radiographically non-evaluable disease at baseline. The other half of the patients had radiographically evaluable disease at baseline and most of these patients were heavily pretreated. Only the subset of patients with evaluable disease at baseline was assessed for preliminary clinical activity.</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 xml:space="preserve">Immunogenicity. </w:t>
      </w:r>
      <w:r>
        <w:rPr>
          <w:rFonts w:ascii="Arial" w:cs="Arial" w:eastAsia="Arial" w:hAnsi="Arial"/>
          <w:sz w:val="17"/>
          <w:szCs w:val="17"/>
          <w:color w:val="auto"/>
        </w:rPr>
        <w:t>Immune responses induced by BNT111 were assessed using various orthogonal assay systems by analyzing T cells against each</w:t>
      </w:r>
      <w:r>
        <w:rPr>
          <w:rFonts w:ascii="Arial" w:cs="Arial" w:eastAsia="Arial" w:hAnsi="Arial"/>
          <w:sz w:val="17"/>
          <w:szCs w:val="17"/>
          <w:i w:val="1"/>
          <w:iCs w:val="1"/>
          <w:color w:val="auto"/>
        </w:rPr>
        <w:t xml:space="preserve"> </w:t>
      </w:r>
      <w:r>
        <w:rPr>
          <w:rFonts w:ascii="Arial" w:cs="Arial" w:eastAsia="Arial" w:hAnsi="Arial"/>
          <w:sz w:val="17"/>
          <w:szCs w:val="17"/>
          <w:color w:val="auto"/>
        </w:rPr>
        <w:t>vaccine antigen in pre- and post-treatment blood samples of patients. So far, about half of the dosed patients have been analyzed for immune responses in this ongoing study. A first analysis in a subset of 18 patients evaluated vaccine antigen reactivity of CD4</w:t>
      </w:r>
      <w:r>
        <w:rPr>
          <w:rFonts w:ascii="Arial" w:cs="Arial" w:eastAsia="Arial" w:hAnsi="Arial"/>
          <w:sz w:val="14"/>
          <w:szCs w:val="14"/>
          <w:color w:val="auto"/>
        </w:rPr>
        <w:t>+</w:t>
      </w:r>
      <w:r>
        <w:rPr>
          <w:rFonts w:ascii="Arial" w:cs="Arial" w:eastAsia="Arial" w:hAnsi="Arial"/>
          <w:sz w:val="17"/>
          <w:szCs w:val="17"/>
          <w:color w:val="auto"/>
        </w:rPr>
        <w:t xml:space="preserve"> and CD8</w:t>
      </w:r>
      <w:r>
        <w:rPr>
          <w:rFonts w:ascii="Arial" w:cs="Arial" w:eastAsia="Arial" w:hAnsi="Arial"/>
          <w:sz w:val="14"/>
          <w:szCs w:val="14"/>
          <w:color w:val="auto"/>
        </w:rPr>
        <w:t>+</w:t>
      </w:r>
      <w:r>
        <w:rPr>
          <w:rFonts w:ascii="Arial" w:cs="Arial" w:eastAsia="Arial" w:hAnsi="Arial"/>
          <w:sz w:val="17"/>
          <w:szCs w:val="17"/>
          <w:color w:val="auto"/>
        </w:rPr>
        <w:t xml:space="preserve"> T cells by IFN-α ELISpot after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stimulation. All tested patients showed either a de novo or an augmented (as compared to baseline) immune response against at least 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BNT111-encoded tumor antigens. Most patients exhibited either CD4</w:t>
      </w:r>
      <w:r>
        <w:rPr>
          <w:rFonts w:ascii="Arial" w:cs="Arial" w:eastAsia="Arial" w:hAnsi="Arial"/>
          <w:sz w:val="14"/>
          <w:szCs w:val="14"/>
          <w:color w:val="auto"/>
        </w:rPr>
        <w:t>+</w:t>
      </w:r>
      <w:r>
        <w:rPr>
          <w:rFonts w:ascii="Arial" w:cs="Arial" w:eastAsia="Arial" w:hAnsi="Arial"/>
          <w:sz w:val="17"/>
          <w:szCs w:val="17"/>
          <w:color w:val="auto"/>
        </w:rPr>
        <w:t xml:space="preserve"> or concurrently CD4</w:t>
      </w:r>
      <w:r>
        <w:rPr>
          <w:rFonts w:ascii="Arial" w:cs="Arial" w:eastAsia="Arial" w:hAnsi="Arial"/>
          <w:sz w:val="14"/>
          <w:szCs w:val="14"/>
          <w:color w:val="auto"/>
        </w:rPr>
        <w:t>+</w:t>
      </w:r>
      <w:r>
        <w:rPr>
          <w:rFonts w:ascii="Arial" w:cs="Arial" w:eastAsia="Arial" w:hAnsi="Arial"/>
          <w:sz w:val="17"/>
          <w:szCs w:val="17"/>
          <w:color w:val="auto"/>
        </w:rPr>
        <w:t xml:space="preserve"> and CD8</w:t>
      </w:r>
      <w:r>
        <w:rPr>
          <w:rFonts w:ascii="Arial" w:cs="Arial" w:eastAsia="Arial" w:hAnsi="Arial"/>
          <w:sz w:val="14"/>
          <w:szCs w:val="14"/>
          <w:color w:val="auto"/>
        </w:rPr>
        <w:t>+</w:t>
      </w:r>
      <w:r>
        <w:rPr>
          <w:rFonts w:ascii="Arial" w:cs="Arial" w:eastAsia="Arial" w:hAnsi="Arial"/>
          <w:sz w:val="17"/>
          <w:szCs w:val="17"/>
          <w:color w:val="auto"/>
        </w:rPr>
        <w:t xml:space="preserve"> T cell responses against the individual vaccine targets. A second analysis looked at the magnitude of immune responses on the individual level by using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IFN-α ELISpot, which due to its sensitivity level would capture only very strong T cell responses, and showed that more than 75% of patients exhibited vaccine-induced CD4</w:t>
      </w:r>
      <w:r>
        <w:rPr>
          <w:rFonts w:ascii="Arial" w:cs="Arial" w:eastAsia="Arial" w:hAnsi="Arial"/>
          <w:sz w:val="14"/>
          <w:szCs w:val="14"/>
          <w:color w:val="auto"/>
        </w:rPr>
        <w:t>+</w:t>
      </w:r>
      <w:r>
        <w:rPr>
          <w:rFonts w:ascii="Arial" w:cs="Arial" w:eastAsia="Arial" w:hAnsi="Arial"/>
          <w:sz w:val="17"/>
          <w:szCs w:val="17"/>
          <w:color w:val="auto"/>
        </w:rPr>
        <w:t xml:space="preserve"> or CD8</w:t>
      </w:r>
      <w:r>
        <w:rPr>
          <w:rFonts w:ascii="Arial" w:cs="Arial" w:eastAsia="Arial" w:hAnsi="Arial"/>
          <w:sz w:val="14"/>
          <w:szCs w:val="14"/>
          <w:color w:val="auto"/>
        </w:rPr>
        <w:t>+</w:t>
      </w:r>
      <w:r>
        <w:rPr>
          <w:rFonts w:ascii="Arial" w:cs="Arial" w:eastAsia="Arial" w:hAnsi="Arial"/>
          <w:sz w:val="17"/>
          <w:szCs w:val="17"/>
          <w:color w:val="auto"/>
        </w:rPr>
        <w:t xml:space="preserve"> T cell responses. The kinetics of </w:t>
      </w:r>
      <w:r>
        <w:rPr>
          <w:rFonts w:ascii="Arial" w:cs="Arial" w:eastAsia="Arial" w:hAnsi="Arial"/>
          <w:sz w:val="17"/>
          <w:szCs w:val="17"/>
          <w:i w:val="1"/>
          <w:iCs w:val="1"/>
          <w:color w:val="auto"/>
        </w:rPr>
        <w:t>de novo</w:t>
      </w:r>
      <w:r>
        <w:rPr>
          <w:rFonts w:ascii="Arial" w:cs="Arial" w:eastAsia="Arial" w:hAnsi="Arial"/>
          <w:sz w:val="17"/>
          <w:szCs w:val="17"/>
          <w:color w:val="auto"/>
        </w:rPr>
        <w:t>-induced CD8</w:t>
      </w:r>
      <w:r>
        <w:rPr>
          <w:rFonts w:ascii="Arial" w:cs="Arial" w:eastAsia="Arial" w:hAnsi="Arial"/>
          <w:sz w:val="14"/>
          <w:szCs w:val="14"/>
          <w:color w:val="auto"/>
        </w:rPr>
        <w:t>+</w:t>
      </w:r>
      <w:r>
        <w:rPr>
          <w:rFonts w:ascii="Arial" w:cs="Arial" w:eastAsia="Arial" w:hAnsi="Arial"/>
          <w:sz w:val="17"/>
          <w:szCs w:val="17"/>
          <w:color w:val="auto"/>
        </w:rPr>
        <w:t xml:space="preserve"> T cells were further characterized in selected patients of interest by a third method using e</w:t>
      </w:r>
      <w:r>
        <w:rPr>
          <w:rFonts w:ascii="Arial" w:cs="Arial" w:eastAsia="Arial" w:hAnsi="Arial"/>
          <w:sz w:val="17"/>
          <w:szCs w:val="17"/>
          <w:i w:val="1"/>
          <w:iCs w:val="1"/>
          <w:color w:val="auto"/>
        </w:rPr>
        <w:t>x vivo</w:t>
      </w:r>
      <w:r>
        <w:rPr>
          <w:rFonts w:ascii="Arial" w:cs="Arial" w:eastAsia="Arial" w:hAnsi="Arial"/>
          <w:sz w:val="17"/>
          <w:szCs w:val="17"/>
          <w:color w:val="auto"/>
        </w:rPr>
        <w:t xml:space="preserve"> MHC peptide multimer staining of blood samples collected at baseline and at different time points after start of vaccination. Mostly, antigen-specific T cell counts showed a fast ramp-up from being undetectable at baseline to levels ranging from 1,000 to more than 100,000 per million circulating CD8</w:t>
      </w:r>
      <w:r>
        <w:rPr>
          <w:rFonts w:ascii="Arial" w:cs="Arial" w:eastAsia="Arial" w:hAnsi="Arial"/>
          <w:sz w:val="14"/>
          <w:szCs w:val="14"/>
          <w:color w:val="auto"/>
        </w:rPr>
        <w:t>+</w:t>
      </w:r>
      <w:r>
        <w:rPr>
          <w:rFonts w:ascii="Arial" w:cs="Arial" w:eastAsia="Arial" w:hAnsi="Arial"/>
          <w:sz w:val="17"/>
          <w:szCs w:val="17"/>
          <w:color w:val="auto"/>
        </w:rPr>
        <w:t xml:space="preserve"> T cells within the first 4-8 weeks. Under monthly maintenance treatment, frequencies of individual antigen-specific T cells continued to slowly increase or remained stable up to over one year.</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Clinical activity. </w:t>
      </w:r>
      <w:r>
        <w:rPr>
          <w:rFonts w:ascii="Arial" w:cs="Arial" w:eastAsia="Arial" w:hAnsi="Arial"/>
          <w:sz w:val="18"/>
          <w:szCs w:val="18"/>
          <w:color w:val="auto"/>
        </w:rPr>
        <w:t>As of the July 2019 cut-off date, in our review of interim data, we assessed 42 patients with radiographically evaluable,</w:t>
      </w:r>
      <w:r>
        <w:rPr>
          <w:rFonts w:ascii="Arial" w:cs="Arial" w:eastAsia="Arial" w:hAnsi="Arial"/>
          <w:sz w:val="18"/>
          <w:szCs w:val="18"/>
          <w:i w:val="1"/>
          <w:iCs w:val="1"/>
          <w:color w:val="auto"/>
        </w:rPr>
        <w:t xml:space="preserve"> </w:t>
      </w:r>
      <w:r>
        <w:rPr>
          <w:rFonts w:ascii="Arial" w:cs="Arial" w:eastAsia="Arial" w:hAnsi="Arial"/>
          <w:sz w:val="18"/>
          <w:szCs w:val="18"/>
          <w:color w:val="auto"/>
        </w:rPr>
        <w:t>measurable disease at baseline for preliminary clinical activity according to Response Evaluation Criteria in Solid Tumors, Version 1.1, or RECIST v1.1. Twenty-five of these 42 patients received BNT111 as a monotherapy, and 17 patients received BNT111 in combination with an anti-PD-1 checkpoint inhibitor, or CPI (either pembrolizumab or nivolumab).</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the BNT111 monotherapy cohort, we observed clinical activity for all 25 patients. All of these patients had received at least one line of prior treatment with a checkpoint inhibitor, and 24 of the 25 patients had failed prior sequential or combination treatment with anti-PD-1 and anti-CTLA4 antibodies. Four of 25 patients (16%) showed a partial response, or PR, and seven patients (28%) demonstrated stable disease. The clinical benefit rate, or CBR, is 44%. Two of the PRs manifested early on during treatment (at imaging day 90); the two others manifested at imaging days 180 and 360, respectively.</w:t>
      </w:r>
    </w:p>
    <w:p>
      <w:pPr>
        <w:spacing w:after="0" w:line="18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In the BNT111 in combination with anti-PD-1 checkpoint inhibitor cohort, 16 of the 17 patients had prior treatment with CPI. Six patients (35%) showed a partial response, and two patients (12%) demonstrated stable disease. The CBR is 47%. Objective responses were observed across all dose levels explored in expansion cohorts (14µg, 50 µg and 100µg). Five of 10 (50%) patients who received the highest target dose of 100µg demonstrated a PR. By contrast, the expected ORR for anti-PD1 treatment in an anti-PD1 experienced patient population is in the range of 10%.</w:t>
      </w:r>
    </w:p>
    <w:p>
      <w:pPr>
        <w:spacing w:after="0" w:line="154"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i w:val="1"/>
          <w:iCs w:val="1"/>
          <w:color w:val="auto"/>
        </w:rPr>
        <w:t>Safety</w:t>
      </w:r>
      <w:r>
        <w:rPr>
          <w:rFonts w:ascii="Arial" w:cs="Arial" w:eastAsia="Arial" w:hAnsi="Arial"/>
          <w:sz w:val="16"/>
          <w:szCs w:val="16"/>
          <w:color w:val="auto"/>
        </w:rPr>
        <w:t>. As of the July 2019 cut-off date, no dose-limiting toxicities to BNT111 have been reported. The highest explored dose level is 400µg total</w:t>
      </w:r>
      <w:r>
        <w:rPr>
          <w:rFonts w:ascii="Arial" w:cs="Arial" w:eastAsia="Arial" w:hAnsi="Arial"/>
          <w:sz w:val="16"/>
          <w:szCs w:val="16"/>
          <w:i w:val="1"/>
          <w:iCs w:val="1"/>
          <w:color w:val="auto"/>
        </w:rPr>
        <w:t xml:space="preserve"> </w:t>
      </w:r>
      <w:r>
        <w:rPr>
          <w:rFonts w:ascii="Arial" w:cs="Arial" w:eastAsia="Arial" w:hAnsi="Arial"/>
          <w:sz w:val="16"/>
          <w:szCs w:val="16"/>
          <w:color w:val="auto"/>
        </w:rPr>
        <w:t>mRNA and doses up to 100µg total mRNA were tested further in expansion cohorts. The overall adverse event profile was dominated by mild-to-moderate, transient and manageable flu-like symptoms. This profile may have been driven by the mode of action of the RNA-LPX, which activates antigen presenting cells via signaling of TLRs, resulting in a temporary, self-limiting release of a distinct range of pro-inflammatory cytokines upon intravenous application. These symptoms were managed by pre-medication with non-steroidal antipyretics, such as ibuprofen and acetaminophen. Eight subjects dosed with BNT111 experienced related treatment-emergent serious adverse events, or TESAEs. The related TESAEs were comprised of two cases of Grade 2 pyrexia, and one case each of Grade 2 asthenia, Grade 2 dizziness, Grade 3 anaphylactic reaction, Grade 3 dizziness, Grade 3 syncope, Grade 3 exudative retinopathy, Grade 3 posterior reversible encephalopathy syndrome, Grade 3 epileptic seizure, and Grade 2 suspected pancreatitis. There were confounding factors, such as treatment with other therapies or underlying medical conditions, for the subjects with related TESAEs. We could not establish a clear causal relationship between BNT111 and the cases of anaphylactic reaction, retinopathy, encephalopathy syndrome, seizure and suspected pancreatitis. There have been no deaths in this study that were assessed by the investigators as related to BNT111.</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Completed Phase 1 Trial in Patients with Advanced Melanoma (MERIT study)</w:t>
      </w:r>
    </w:p>
    <w:p>
      <w:pPr>
        <w:spacing w:after="0" w:line="11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2016, we published results of a first-in-human dose escalation study evaluating the safety and tolerability of intranodal administration of an earlier generation of BNT111 in patients with advanced melanoma. In this study, the earlier formulation of BNT111 targeted only NY-ESO-1 and tyrosinase.</w:t>
      </w:r>
    </w:p>
    <w:p>
      <w:pPr>
        <w:spacing w:after="0" w:line="18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This international, multi-center, open-label interventional study’s primary endpoints were the maximum tolerated dose for multiple dosing, safety and adverse reactions and tolerability profile of multiple dosing. The secondary endpoints were (i) to observe immunotherapy-induced immune responses following multiple treatment cycles and (ii) clinical benefit (complete response, partial response and stable disease).</w:t>
      </w:r>
    </w:p>
    <w:p>
      <w:pPr>
        <w:spacing w:after="0" w:line="166"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Five dosages were administered to patients sequentially: 50µg, 100µg, 300µg, 600µg, and 1,000µg. The sample size for the first three doses was three each. The 600µg dose cohort was comprised of 13 patients and the 1,000µg dose cohort was comprised of seven patients. In the 100µg, 300µg and 600µg dose cohorts, seven patients in total received continued treatment. The overall individual treatment period was 43 to 51 days and comprised eight treatment cycles of ultrasound-guided intranodal injections on days one, four, eight, 11, 15-17, 22-26, 29-35 and 43-51. In case of an optional continued treatment for patients who neither exhibited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spacing w:after="0" w:line="312" w:lineRule="auto"/>
        <w:rPr>
          <w:sz w:val="20"/>
          <w:szCs w:val="20"/>
          <w:color w:val="auto"/>
        </w:rPr>
      </w:pPr>
      <w:r>
        <w:rPr>
          <w:rFonts w:ascii="Arial" w:cs="Arial" w:eastAsia="Arial" w:hAnsi="Arial"/>
          <w:sz w:val="16"/>
          <w:szCs w:val="16"/>
          <w:color w:val="auto"/>
        </w:rPr>
        <w:t>unacceptable drug-related toxicity nor disease progression, four additional treatment cycles were administered at the same dosage that the patient had received in his or her cohort. The first cycle of continued treatment was scheduled 14-42 days after the last visit, with the second and third additional treatment cycles following after a one-month interval each. The fourth treatment cycle then followed after an interval of three months.</w:t>
      </w:r>
    </w:p>
    <w:p>
      <w:pPr>
        <w:spacing w:after="0" w:line="14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occurrence of new measurable lesions was observed in only one patient of the 1,000µg dose cohort, while new non-measurable lesions were identified in seven patients. Twenty-one patients, or 75%, were classified as having immune-related stable disease and six patients, or 21.4%, had immune-related progressive disease.</w:t>
      </w:r>
    </w:p>
    <w:p>
      <w:pPr>
        <w:spacing w:after="0" w:line="181" w:lineRule="exact"/>
        <w:rPr>
          <w:sz w:val="20"/>
          <w:szCs w:val="20"/>
          <w:color w:val="auto"/>
        </w:rPr>
      </w:pPr>
    </w:p>
    <w:p>
      <w:pPr>
        <w:ind w:left="200" w:right="420" w:firstLine="441"/>
        <w:spacing w:after="0" w:line="276" w:lineRule="auto"/>
        <w:rPr>
          <w:sz w:val="20"/>
          <w:szCs w:val="20"/>
          <w:color w:val="auto"/>
        </w:rPr>
      </w:pPr>
      <w:r>
        <w:rPr>
          <w:rFonts w:ascii="Arial" w:cs="Arial" w:eastAsia="Arial" w:hAnsi="Arial"/>
          <w:sz w:val="17"/>
          <w:szCs w:val="17"/>
          <w:color w:val="auto"/>
        </w:rPr>
        <w:t>The most frequent adverse events included administration-site conditions, infections and infestations, musculoskeletal and connective tissue disorders, nasopharyngitis, fatigue, headache and back pain. No life-threatening adverse events nor deaths occurred in this study. Thirteen severe adverse events were reported, including infections and infestations and vascular disorders. Sixteen patients were affected by adverse events with a suspected relationship to the study drug. These were most frequently fatigue, application site erythema and application site pain. None of the drug-related adverse events was categorized as serious. No dose-limiting toxicities were observed.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We expect to report Phase 1 data from the LIPOMERIT trial and to initiate a Phase 2 clinical trial for BNT111 in the U.S. and Europe in the first half of 2020. Moreover, we plan to initiate a registrational Phase 3 trial in metastatic melanoma patients in the second half of 2020.</w:t>
      </w:r>
    </w:p>
    <w:p>
      <w:pPr>
        <w:spacing w:after="0" w:line="291" w:lineRule="exact"/>
        <w:rPr>
          <w:sz w:val="20"/>
          <w:szCs w:val="20"/>
          <w:color w:val="auto"/>
        </w:rPr>
      </w:pPr>
    </w:p>
    <w:p>
      <w:pPr>
        <w:ind w:left="2180" w:hanging="545"/>
        <w:spacing w:after="0"/>
        <w:tabs>
          <w:tab w:leader="none" w:pos="2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BNT112: Our FixVac Cancer Immunotherapy for the Treatment of Prostate Cancer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developing BNT112 for the treatment of prostate cancer.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Prostate Cancer</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Prostate cancer is the second most common cancer amongst men worldwide and the fourth most commonly occurring cancer overall, with around 1.3 million new cases recorded worldwide in 2018 and 174,650 cases expected in 2019 in the United States alone. The stage of the prostate cancer (I-IV), alongside the prostate-specific antigen and Gleason score, are the key factors for defining the treatment options for individual cases. Surgical or radiation based approaches are often used in first-line therapy, however after relapse (up to 30-40% of patients), androgen-deprivation therapies are employed, which in turn also often becomes redundant (metastatic castration-resistant prostate cancer, or mCRPC) at which point patients are treated with either further hormonal agents or chemotherapy.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BNT112 Targets</w:t>
      </w:r>
    </w:p>
    <w:p>
      <w:pPr>
        <w:spacing w:after="0" w:line="11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BNT112 is designed to elicit an immune response to five prostate cancer-specific antigens, including prostate-specific antigen, or PSA, a transmembrane protein that is expressed by virtually all prostate cancers, prostatic acid phosphatase, or PAP, and three additional tumor-associated antigens.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BNT112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Planned Phase 1/2 Clinical Trial</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plan to initiate an open-label, multi-center, first-in-human Phase 1/2 individual dose titration study of BNT112 in patients with mCRPC and high-risk localized prostate cancer, or LPC, in the second half of 2019. Eligible patients will have newly-diagnosed, high-risk, localized prostate cancer and will be treated with BNT112 as a single agent, in combination with cemiplimab and goserelin acetate or in combination with goserelin acetate alone. We anticipate a total enrollment of 60 to 80 patients at up to 20 investigational sites.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study is designed to evaluate the safety, tolerability, immunogenicity and preliminary efficacy of BNT112 in mCRPC and LPC patients. The primary objective of this study will be to establish the safety and tolerability of BNT112 alone, or in combination with goserelin acetate with or without cemiplimab. The secondary objectives of the trial will be to examine the immunogenicity of BNT112 alone or in combination with goserelin acetate with or without cemiplimab, and to evaluate anti-tumor activity based on levels of prostate-specific antigen, or PSA.</w:t>
      </w:r>
    </w:p>
    <w:p>
      <w:pPr>
        <w:spacing w:after="0" w:line="17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study will consist of three arms. The first arm will start with a dose titration phase for the initial safety assessment and recommended expansion dose range assessment. We anticipate enrollment of approximately 20 patients in arm one who will receive BNT112 alone, with up to nine patients participating in the dose titration part of the arm (with staggered starting groups of three patients one week apart). Titration will continue until unacceptable toxicity or disease progression. Efficacy in the first arm will be assessed by on-treatment imaging and in the second and third arms by tumor volume measurement.</w:t>
      </w:r>
    </w:p>
    <w:p>
      <w:pPr>
        <w:spacing w:after="0" w:line="18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After at least six patients are treated and evaluable for at least one treatment cycle, we plan to commence enrollment of the second and third arms, each enrolling approximately 20 patients with newly diagnosed LPC. Patients in the second arm will receive BNT112 combined with goserelin acetate and cemiplimab, and patients in the third arm will receive BNT112 combined with goserelin acetate alone. Treatment periods in the second and third arms will last until unacceptable toxicity or until the end of the eighth cycle, which will be followed by planned radical prostatectomy.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1/2 trial for BNT112 in the second half of 2019.</w:t>
      </w:r>
    </w:p>
    <w:p>
      <w:pPr>
        <w:spacing w:after="0" w:line="370" w:lineRule="exact"/>
        <w:rPr>
          <w:sz w:val="20"/>
          <w:szCs w:val="20"/>
          <w:color w:val="auto"/>
        </w:rPr>
      </w:pPr>
    </w:p>
    <w:p>
      <w:pPr>
        <w:ind w:left="2180" w:hanging="545"/>
        <w:spacing w:after="0"/>
        <w:tabs>
          <w:tab w:leader="none" w:pos="2180" w:val="left"/>
        </w:tabs>
        <w:numPr>
          <w:ilvl w:val="0"/>
          <w:numId w:val="187"/>
        </w:numPr>
        <w:rPr>
          <w:rFonts w:ascii="Arial" w:cs="Arial" w:eastAsia="Arial" w:hAnsi="Arial"/>
          <w:sz w:val="18"/>
          <w:szCs w:val="18"/>
          <w:color w:val="auto"/>
        </w:rPr>
      </w:pPr>
      <w:r>
        <w:rPr>
          <w:rFonts w:ascii="Arial" w:cs="Arial" w:eastAsia="Arial" w:hAnsi="Arial"/>
          <w:sz w:val="18"/>
          <w:szCs w:val="18"/>
          <w:b w:val="1"/>
          <w:bCs w:val="1"/>
          <w:color w:val="auto"/>
        </w:rPr>
        <w:t>BNT113: Our FixVac Cancer Immunotherapy for the Treatment of HPV+ Head and Neck Cancer</w:t>
      </w:r>
    </w:p>
    <w:p>
      <w:pPr>
        <w:spacing w:after="0" w:line="121" w:lineRule="exact"/>
        <w:rPr>
          <w:sz w:val="20"/>
          <w:szCs w:val="20"/>
          <w:color w:val="auto"/>
        </w:rPr>
      </w:pPr>
    </w:p>
    <w:p>
      <w:pPr>
        <w:ind w:left="200" w:right="960" w:firstLine="441"/>
        <w:spacing w:after="0" w:line="342" w:lineRule="auto"/>
        <w:rPr>
          <w:sz w:val="20"/>
          <w:szCs w:val="20"/>
          <w:color w:val="auto"/>
        </w:rPr>
      </w:pPr>
      <w:r>
        <w:rPr>
          <w:rFonts w:ascii="Arial" w:cs="Arial" w:eastAsia="Arial" w:hAnsi="Arial"/>
          <w:sz w:val="16"/>
          <w:szCs w:val="16"/>
          <w:color w:val="auto"/>
        </w:rPr>
        <w:t>We are developing BNT113 for the treatment of HPV+ head and neck cancer. BNT113 is currently being studied by the University of Southampton in an ongoing investigator-sponsored Phase 1/2 basket study in HPV+ cancers, including head and neck cancer.</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HPV+ Head and Neck Cancer</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Head and neck cancer defines an heterogeneous group of tumors originating in the squamous cells that line the moist, mucosal surfaces inside the head and neck. Head and neck cancer is the sixth most common malignancy worldwide, accounting for approximately 6% of all cancer cases, and is responsible for 1-2% of all cancer deaths. An increasing percentage of this cancer is now attributed to HPV infection in the United States and Europe, particularly those arising from the oropharynx. In the U.S., HPV-related oropharynx cancer, or OPC, is one of only five cancers with rising incidence and prevalence. The percentage of OPC related to HPV rose from approximately 16% in 1984 to 1989 to approximately 72% during 2000 to 2004. Early stage head and neck cancer is typically either treated with surgery or radiation alone, however approximately 66% of patients present with advanced disease and fewer than 30% of these are cured. The management of advanced disease consists of multiple-modality therapy with surgery, radiation and chemotherapy. Long-term survival rates in these patients have not increased significantly in the past 30 years: five-year survival rates are 60-80%.</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BNT113 Targets</w:t>
      </w:r>
    </w:p>
    <w:p>
      <w:pPr>
        <w:spacing w:after="0" w:line="117"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BNT113 is designed to elicit an immune response against the well-characterized HPV16-derived oncoproteins E6 and E7, which are strongly immunogenic, viral neoantigens that are found in HPV16+ solid cancers such as head and neck squamous cell carcinoma.</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BNT113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1/2 Basket Study (Investigator-Sponsored)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BNT113 is being studied in an investigator sponsored open-label, Phase 1/2 dose escalation basket study with two different arms in approximately 44 patients with HPV+ head and neck and other cancers. The first arm will perform dose escalation in patients with previously treated HPV+ head and neck cancer using two dose cohorts to establish a safe, tolerable and recommended dose of BNT113. The second arm will perform dose escalation in patients with advanced HPV+ cancers, including head and neck, anogenital, penile and cervical cancers, using a single cohort to establish a safe, tolerable and recommended dose.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initiate a Phase 2 trial of BNT113 in HPV+ cancers in the second half of 2020.</w:t>
      </w:r>
    </w:p>
    <w:p>
      <w:pPr>
        <w:spacing w:after="0" w:line="370" w:lineRule="exact"/>
        <w:rPr>
          <w:sz w:val="20"/>
          <w:szCs w:val="20"/>
          <w:color w:val="auto"/>
        </w:rPr>
      </w:pPr>
    </w:p>
    <w:p>
      <w:pPr>
        <w:ind w:left="2180" w:hanging="545"/>
        <w:spacing w:after="0"/>
        <w:tabs>
          <w:tab w:leader="none" w:pos="2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BNT114: Our FixVac Cancer Immunotherapy for the Treatment of Triple Negative Breast Cancer</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We are currently studying antigens selected for BNT114 in a three-arm clinical trial as both a monotherapy and in combination with our RO7198457 (BNT122) individualized iNeST immunotherapy in patients with triple negative breast cancers.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Triple Negative Breast Cancer (TNBC)</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Breast cancer is the most commonly occurring cancer in women and the second most common cancer overall with over two million new cases globally in 2018 with an expected 268,600 cases in 2019 in the United States alone. There are three broadly defined categories of breast cancer. About 80% of breast cancers are defined as ER+, meaning that they grow in response to the hormone estrogen, while 65% of these are also defined as PR+, as they also grow in response to another hormone, progesterone. Such cancers can be identified by the presence of estrogen receptors, or ER, and/or progesterone receptors, or PR, on the cancer cell surface and are more likely to be treatable by hormone therapies than cancers that are ER or PR negative. In about 20% of cancers, the tumor can be identified by its production of an excess of the HER2 protein. Such HER2+ cancers tend to be aggressive and fast moving. Breast cancers that neither express ER or PR, nor over-express HER2-, are known as triple negative breast cancers, or TNBCs. TNBC patients represent approximately 12-15% of all breast cancer cases, however it remains an area of high unmet medical need given it is typically the most aggressive form of breast cancer. There are currently no effective treatments for TNBC. While initial treatment options include surgery or chemotherapy, TNBC is characterized by rapid resistance to chemotherapy, and few remaining treatment options remain thereafter.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BNT114 Targets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BNT114 is designed to elicit an immune response to selected antigens that are found in breast cancers.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BNT114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 Clinical Trial (BNT114 monotherapy and in combination with RO7198457 (BNT122))</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are currently conducting an international, multi-center, open-label, three-arm Phase 1 study of BNT114 as a monotherapy and in combination with our RO7198457 (BNT122) individualized iNeST immunotherapy in 39 TNBC patients who had previously received the standard of care therapy (</w:t>
      </w:r>
      <w:r>
        <w:rPr>
          <w:rFonts w:ascii="Arial" w:cs="Arial" w:eastAsia="Arial" w:hAnsi="Arial"/>
          <w:sz w:val="18"/>
          <w:szCs w:val="18"/>
          <w:i w:val="1"/>
          <w:iCs w:val="1"/>
          <w:color w:val="auto"/>
        </w:rPr>
        <w:t>i.e.</w:t>
      </w:r>
      <w:r>
        <w:rPr>
          <w:rFonts w:ascii="Arial" w:cs="Arial" w:eastAsia="Arial" w:hAnsi="Arial"/>
          <w:sz w:val="18"/>
          <w:szCs w:val="18"/>
          <w:color w:val="auto"/>
        </w:rPr>
        <w:t>, surgery, chemotherapy and/or radiotherapy). The primary endpoints of the study are to assess safety and tolerability. Safety will be analyzed by adverse event documentation and clinical observation and tolerability will be analyzed based on patients’ vital signs and clinical chemistry. The secondary endpoint of the study is the observation of the treatment-induced immune responses, expressed as treatment-induced T cell responses, resulting from multiple treatment cycles.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80"/>
          </w:cols>
          <w:pgMar w:left="240" w:top="460"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Patients in the first arm receive BNT114, patients in the second arm receive BNT114 in combination with RO7198457 (BNT122) and patients in the third arm receive BNT114 in combination with mRNA encoding tetanus-toxin help epitopes.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report a data update in the first half of 2020 and assess the immunogenicity of the selected antigens.</w:t>
      </w:r>
    </w:p>
    <w:p>
      <w:pPr>
        <w:spacing w:after="0" w:line="370" w:lineRule="exact"/>
        <w:rPr>
          <w:sz w:val="20"/>
          <w:szCs w:val="20"/>
          <w:color w:val="auto"/>
        </w:rPr>
      </w:pPr>
    </w:p>
    <w:p>
      <w:pPr>
        <w:ind w:left="2180" w:hanging="545"/>
        <w:spacing w:after="0"/>
        <w:tabs>
          <w:tab w:leader="none" w:pos="21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Other FixVac Indications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also exploring FixVac development candidates in other cancer indications, including ovarian cancer.</w:t>
      </w:r>
    </w:p>
    <w:p>
      <w:pPr>
        <w:spacing w:after="0" w:line="374" w:lineRule="exact"/>
        <w:rPr>
          <w:sz w:val="20"/>
          <w:szCs w:val="20"/>
          <w:color w:val="auto"/>
        </w:rPr>
      </w:pPr>
    </w:p>
    <w:p>
      <w:pPr>
        <w:ind w:left="1620" w:hanging="430"/>
        <w:spacing w:after="0"/>
        <w:tabs>
          <w:tab w:leader="none" w:pos="1620" w:val="left"/>
        </w:tabs>
        <w:numPr>
          <w:ilvl w:val="0"/>
          <w:numId w:val="1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Individualized Neoantigen Specific Immunotherapy (iNeST)</w:t>
      </w:r>
    </w:p>
    <w:p>
      <w:pPr>
        <w:spacing w:after="0" w:line="11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Our iNeST product candidate is an individualized cancer immunotherapy that targets specific neoantigens that are present on a patient’s tumor. Our iNeST immunotherapies contain pharmacologically optimized uridine mRNA encoding up to 20 patient-specific neoantigens, as well as our proprietary RNA-LPX formulation. We are developing our iNeST cancer immunotherapy in collaboration with Genentech.</w:t>
      </w:r>
    </w:p>
    <w:p>
      <w:pPr>
        <w:spacing w:after="0" w:line="310" w:lineRule="exact"/>
        <w:rPr>
          <w:sz w:val="20"/>
          <w:szCs w:val="20"/>
          <w:color w:val="auto"/>
        </w:rPr>
      </w:pPr>
    </w:p>
    <w:p>
      <w:pPr>
        <w:ind w:left="2180" w:hanging="545"/>
        <w:spacing w:after="0"/>
        <w:tabs>
          <w:tab w:leader="none" w:pos="2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BNT122: Our iNeST Cancer Immunotherapy for Multiple Potential Indications</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and our collaborator Genentech are developing RO7198457 (BNT122) for the treatment of metastatic melanoma and other solid tumors. We are currently conducting a randomized Phase 2 trial of RO7198457 (BNT122) in collaboration with Genentech in first-line melanoma in combination with pembrolizumab. In collaboration with Genetech, we are also studying RO7198457 (BNT122) as a monotherapy and in combination with atezolizumab in a Phase 1a/1b study of patients with locally advanced or metastatic solid tumors (including in melanoma, non-small cell lung cancer, bladder cancer as well as other solid tumors). The Phase 1a/1b trial is a non-registrational, signal-seeking study recruiting mostly patients with late-stage advanced cancers including patients who failed multiple lines of prior treatment.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RO7198457 (BNT122) Targets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RO7198457 (BNT122) is an individualized neoantigen-specific immunotherapy. Each RO7198457 (BNT122) dose includes up to 20 different neoepitopes selected on a patient-by-patient basis. We believe that neoepitope-specific T cells induced by RO7198457 (BNT122) can enhance the therapeutic efficacy of immune checkpoint blockade.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RO7198457 (BNT122)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2 Clinical Trial (First-line with pembrolizumab)</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January 2019, we and Genentech initiated a Phase 2, open-label, multi-center, randomized clinical trial investigating the safety and efficacy of RO7198457 (BNT122) in combination with pembrolizumab in 132 patients with previously untreated metastatic melanoma. Patients in the experimental arm will receive pembrolizumab by intravenous infusion every three weeks, plus a selected dose of RO7198457 (BNT122) at defined intervals. Patients in the active comparator arm will receive 200mg of pembrolizumab by intravenous infusion every three weeks. Following treatment in the comparator arm, patients will be permitted to cross over to combination therapy with RO7198457 (BNT122).</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primary endpoint is:</w:t>
      </w:r>
    </w:p>
    <w:p>
      <w:pPr>
        <w:spacing w:after="0" w:line="131" w:lineRule="exact"/>
        <w:rPr>
          <w:sz w:val="20"/>
          <w:szCs w:val="20"/>
          <w:color w:val="auto"/>
        </w:rPr>
      </w:pPr>
    </w:p>
    <w:p>
      <w:pPr>
        <w:ind w:left="1180" w:right="80" w:hanging="436"/>
        <w:spacing w:after="0" w:line="277" w:lineRule="auto"/>
        <w:tabs>
          <w:tab w:leader="none" w:pos="11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progression-free survival, or PFS, of patients treated with RO7198457 (BNT122) compared with patients receiving pembrolizumab alone, according to RECIST v1.1;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Secondary endpoints include:</w:t>
      </w:r>
    </w:p>
    <w:p>
      <w:pPr>
        <w:spacing w:after="0" w:line="131" w:lineRule="exact"/>
        <w:rPr>
          <w:sz w:val="20"/>
          <w:szCs w:val="20"/>
          <w:color w:val="auto"/>
        </w:rPr>
      </w:pPr>
    </w:p>
    <w:p>
      <w:pPr>
        <w:ind w:left="1180" w:right="200" w:hanging="436"/>
        <w:spacing w:after="0" w:line="277" w:lineRule="auto"/>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objective response rate, or ORR, in patients treated with RO7198457 (BNT122) compared with patients receiving pembrolizumab alone, defined as the proportion of participants with complete response, or CR, or partial response, or PR.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overall survival, or OS, of patients treated with RO7198457 (BNT122) compared with patients receiving pembrolizumab only;</w:t>
      </w:r>
    </w:p>
    <w:p>
      <w:pPr>
        <w:spacing w:after="0" w:line="130" w:lineRule="exact"/>
        <w:rPr>
          <w:rFonts w:ascii="Arial" w:cs="Arial" w:eastAsia="Arial" w:hAnsi="Arial"/>
          <w:sz w:val="18"/>
          <w:szCs w:val="18"/>
          <w:color w:val="auto"/>
        </w:rPr>
      </w:pPr>
    </w:p>
    <w:p>
      <w:pPr>
        <w:ind w:left="1180" w:right="760" w:hanging="436"/>
        <w:spacing w:after="0" w:line="277" w:lineRule="auto"/>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duration of response according to RECIST v1.1 of patients treated with RO7198457 (BNT122) compared with patients receiving pembrolizumab only;</w:t>
      </w:r>
    </w:p>
    <w:p>
      <w:pPr>
        <w:spacing w:after="0" w:line="75"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mean change in health-related quality of life, scores of patients treated with RO7198457 (BNT122) compared with patients receiving pembrolizumab only;</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percentage of patients with CR or PR following cross-over from pembrolizumab monotherapy to combination therapy following cross-over, according to RECIST v1.1;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incidence and severity of adverse events.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and Genentech are currently conducting a global Phase 1a/1b open-label, global dose-escalation study to assess the safety, tolerability, immune response and pharmacokinetics of RO7198457 (BNT122) as a single agent and in combination with Tecentriq</w:t>
      </w:r>
      <w:r>
        <w:rPr>
          <w:rFonts w:ascii="Arial" w:cs="Arial" w:eastAsia="Arial" w:hAnsi="Arial"/>
          <w:sz w:val="15"/>
          <w:szCs w:val="15"/>
          <w:color w:val="auto"/>
        </w:rPr>
        <w:t>®</w:t>
      </w:r>
      <w:r>
        <w:rPr>
          <w:rFonts w:ascii="Arial" w:cs="Arial" w:eastAsia="Arial" w:hAnsi="Arial"/>
          <w:sz w:val="18"/>
          <w:szCs w:val="18"/>
          <w:color w:val="auto"/>
        </w:rPr>
        <w:t xml:space="preserve"> (atezolizumab), an anti-PD-L1 mAb, in patients with locally advanced or metastatic tumors, including in melanoma, non-small cell lung cancer, bladder cancer, colorectal cancer, TNBC, renal cancer, H&amp;N cancer and other solid cancers. This trial is a non-registrational, signal-seeking study recruiting mostly patients with late-stage advanced cancers including patients who failed multiple lines of prior treatment. The study is designed to enroll up to approximately 770 patients and we expect initial data in 2021.</w:t>
      </w:r>
    </w:p>
    <w:p>
      <w:pPr>
        <w:spacing w:after="0" w:line="193"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the Phase 1a portion of the study, patients receive RO7198457 (BNT122), administered intravenously every 21 days at escalating doses. In the Phase 1b portion, patients receive RO7198457 (BNT122), administered intravenously every 21 days at escalating dosages, in combination with atezolizumab at a fixed dose of 1200mg.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we are investigating RO7198457 (BNT122) in three Phase 1b arms in combination with atezolizumab at a fixed dose of 1200mg, in</w:t>
      </w:r>
    </w:p>
    <w:p>
      <w:pPr>
        <w:spacing w:after="0" w:line="46" w:lineRule="exact"/>
        <w:rPr>
          <w:sz w:val="20"/>
          <w:szCs w:val="20"/>
          <w:color w:val="auto"/>
        </w:rPr>
      </w:pPr>
    </w:p>
    <w:p>
      <w:pPr>
        <w:ind w:left="200" w:right="340" w:firstLine="4"/>
        <w:spacing w:after="0" w:line="261" w:lineRule="auto"/>
        <w:tabs>
          <w:tab w:leader="none" w:pos="41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patients with non-small cell lung cancer or melanoma that have received cancer checkpoint inhibitors, (ii) patients with selected tumor types who consent to optional serial biopsies and (iii) patients with different indications as per inclusion criteria.</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Completed Phase 1 Clinical Trial (BNT121 First Generation iNeST)</w:t>
      </w:r>
    </w:p>
    <w:p>
      <w:pPr>
        <w:spacing w:after="0" w:line="117" w:lineRule="exact"/>
        <w:rPr>
          <w:sz w:val="20"/>
          <w:szCs w:val="20"/>
          <w:color w:val="auto"/>
        </w:rPr>
      </w:pPr>
    </w:p>
    <w:p>
      <w:pPr>
        <w:jc w:val="both"/>
        <w:ind w:left="200" w:right="400" w:firstLine="441"/>
        <w:spacing w:after="0" w:line="286" w:lineRule="auto"/>
        <w:rPr>
          <w:sz w:val="20"/>
          <w:szCs w:val="20"/>
          <w:color w:val="auto"/>
        </w:rPr>
      </w:pPr>
      <w:r>
        <w:rPr>
          <w:rFonts w:ascii="Arial" w:cs="Arial" w:eastAsia="Arial" w:hAnsi="Arial"/>
          <w:sz w:val="17"/>
          <w:szCs w:val="17"/>
          <w:color w:val="auto"/>
        </w:rPr>
        <w:t>In 2017, we published the results of a 13-patient, first-in-human trial of our first-generation intranodal iNeST product candidate, BNT121, in patients with late-stage malignant melanoma. The objective of this clinical trial was to study the feasibility, safety, tolerability, immunogenicity and potential anti-tumoral activity of iNeST. All patients had stable disease at enrollment with a high risk for relapse.</w:t>
      </w:r>
    </w:p>
    <w:p>
      <w:pPr>
        <w:spacing w:after="0" w:line="16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All 13 patients developed T cell immune responses against multiple immunotherapy neoepitopes at up to high single-digit percentages. As shown below, 60% of the selected neoepitopes elicited a T cell response. The detected immune response was elicited by both CD4</w:t>
      </w:r>
      <w:r>
        <w:rPr>
          <w:rFonts w:ascii="Arial" w:cs="Arial" w:eastAsia="Arial" w:hAnsi="Arial"/>
          <w:sz w:val="15"/>
          <w:szCs w:val="15"/>
          <w:color w:val="auto"/>
        </w:rPr>
        <w:t>+</w:t>
      </w:r>
      <w:r>
        <w:rPr>
          <w:rFonts w:ascii="Arial" w:cs="Arial" w:eastAsia="Arial" w:hAnsi="Arial"/>
          <w:sz w:val="18"/>
          <w:szCs w:val="18"/>
          <w:color w:val="auto"/>
        </w:rPr>
        <w:t xml:space="preserve"> and CD8</w:t>
      </w:r>
      <w:r>
        <w:rPr>
          <w:rFonts w:ascii="Arial" w:cs="Arial" w:eastAsia="Arial" w:hAnsi="Arial"/>
          <w:sz w:val="15"/>
          <w:szCs w:val="15"/>
          <w:color w:val="auto"/>
        </w:rPr>
        <w:t>+</w:t>
      </w:r>
      <w:r>
        <w:rPr>
          <w:rFonts w:ascii="Arial" w:cs="Arial" w:eastAsia="Arial" w:hAnsi="Arial"/>
          <w:sz w:val="18"/>
          <w:szCs w:val="18"/>
          <w:color w:val="auto"/>
        </w:rPr>
        <w:t xml:space="preserve"> T cells and the majority was induced </w:t>
      </w:r>
      <w:r>
        <w:rPr>
          <w:rFonts w:ascii="Arial" w:cs="Arial" w:eastAsia="Arial" w:hAnsi="Arial"/>
          <w:sz w:val="18"/>
          <w:szCs w:val="18"/>
          <w:i w:val="1"/>
          <w:iCs w:val="1"/>
          <w:color w:val="auto"/>
        </w:rPr>
        <w:t>de novo</w:t>
      </w:r>
      <w:r>
        <w:rPr>
          <w:rFonts w:ascii="Arial" w:cs="Arial" w:eastAsia="Arial" w:hAnsi="Arial"/>
          <w:sz w:val="18"/>
          <w:szCs w:val="18"/>
          <w:color w:val="auto"/>
        </w:rPr>
        <w:t>, which we believe to be an important requirement for an effective immune response and an added benefit beyond checkpoint inhibition alone.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severe adverse drug reactions were reported in the study. Common adverse events included flu-like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168910</wp:posOffset>
            </wp:positionV>
            <wp:extent cx="2632710" cy="2958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3271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spacing w:after="0" w:line="259" w:lineRule="auto"/>
        <w:rPr>
          <w:sz w:val="20"/>
          <w:szCs w:val="20"/>
          <w:color w:val="auto"/>
        </w:rPr>
      </w:pPr>
      <w:r>
        <w:rPr>
          <w:rFonts w:ascii="Arial" w:cs="Arial" w:eastAsia="Arial" w:hAnsi="Arial"/>
          <w:sz w:val="14"/>
          <w:szCs w:val="14"/>
          <w:b w:val="1"/>
          <w:bCs w:val="1"/>
          <w:color w:val="auto"/>
        </w:rPr>
        <w:t>Immune responses documented in our prior BNT121 study</w:t>
      </w:r>
      <w:r>
        <w:rPr>
          <w:rFonts w:ascii="Arial" w:cs="Arial" w:eastAsia="Arial" w:hAnsi="Arial"/>
          <w:sz w:val="14"/>
          <w:szCs w:val="14"/>
          <w:color w:val="auto"/>
        </w:rPr>
        <w:t>. Patients showed immune responses, including both CD4</w:t>
      </w:r>
      <w:r>
        <w:rPr>
          <w:rFonts w:ascii="Arial" w:cs="Arial" w:eastAsia="Arial" w:hAnsi="Arial"/>
          <w:sz w:val="12"/>
          <w:szCs w:val="12"/>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and CD8</w:t>
      </w:r>
      <w:r>
        <w:rPr>
          <w:rFonts w:ascii="Arial" w:cs="Arial" w:eastAsia="Arial" w:hAnsi="Arial"/>
          <w:sz w:val="12"/>
          <w:szCs w:val="12"/>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responses, against multiple neoantigens. Source: Nature</w:t>
      </w:r>
      <w:r>
        <w:rPr>
          <w:rFonts w:ascii="Arial" w:cs="Arial" w:eastAsia="Arial" w:hAnsi="Arial"/>
          <w:sz w:val="14"/>
          <w:szCs w:val="14"/>
          <w:b w:val="1"/>
          <w:bCs w:val="1"/>
          <w:color w:val="auto"/>
        </w:rPr>
        <w:t xml:space="preserve"> </w:t>
      </w:r>
      <w:r>
        <w:rPr>
          <w:rFonts w:ascii="Arial" w:cs="Arial" w:eastAsia="Arial" w:hAnsi="Arial"/>
          <w:sz w:val="14"/>
          <w:szCs w:val="14"/>
          <w:color w:val="auto"/>
        </w:rPr>
        <w:t>547, 222-226 (13 July 2017)</w:t>
      </w:r>
      <w:r>
        <w:rPr>
          <w:rFonts w:ascii="Arial" w:cs="Arial" w:eastAsia="Arial" w:hAnsi="Arial"/>
          <w:sz w:val="14"/>
          <w:szCs w:val="14"/>
          <w:b w:val="1"/>
          <w:bCs w:val="1"/>
          <w:color w:val="auto"/>
        </w:rPr>
        <w:t>.</w:t>
      </w:r>
    </w:p>
    <w:p>
      <w:pPr>
        <w:spacing w:after="0" w:line="1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80"/>
          </w:cols>
          <w:pgMar w:left="240" w:top="459" w:right="5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In addition, metastases resected from two patients following treatment with BNT121 demonstrated evidence of treatment-induced infiltration with BNT121-induced neoepitope-specific T cells and neoepitope-specific killing of tumor cells. The cumulative rate of metastatic events was significantly reduced after the start of treatment, resulting in a sustained progression-free survival. Of the 13 patients entering the trial, eight patients that had no radiologically detectable lesions at start of neo-epitope vaccination were relapse free and remained recurrence-free for the whole follow-up period (12 to 23 months). Five patients experienced melanoma relapses shortly after inclusion in the trial and despite initiation of standard treatment had progressing metastases at start of their neoepitope treatment. Of these, three patients developed neoepitope treatment-related objective clinical responses. One of these patients exhibited a complete response and remained relapse-free for 26 months. The second patient had an immunotherapy-related partial response. This patient had a late relapse owing to outgrowth of ß2-microglobulin-deficient melanoma cells as an acquired resistance mechanism. A third patient developed a complete response to treatment in combination with PD-1 blockade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132080</wp:posOffset>
            </wp:positionV>
            <wp:extent cx="3884930" cy="30784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8493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right="360"/>
        <w:spacing w:after="0" w:line="259" w:lineRule="auto"/>
        <w:rPr>
          <w:sz w:val="20"/>
          <w:szCs w:val="20"/>
          <w:color w:val="auto"/>
        </w:rPr>
      </w:pPr>
      <w:r>
        <w:rPr>
          <w:rFonts w:ascii="Arial" w:cs="Arial" w:eastAsia="Arial" w:hAnsi="Arial"/>
          <w:sz w:val="14"/>
          <w:szCs w:val="14"/>
          <w:b w:val="1"/>
          <w:bCs w:val="1"/>
          <w:color w:val="auto"/>
        </w:rPr>
        <w:t xml:space="preserve">Metastatic relapses before and after treatment with BNT121. </w:t>
      </w:r>
      <w:r>
        <w:rPr>
          <w:rFonts w:ascii="Arial" w:cs="Arial" w:eastAsia="Arial" w:hAnsi="Arial"/>
          <w:sz w:val="14"/>
          <w:szCs w:val="14"/>
          <w:color w:val="auto"/>
        </w:rPr>
        <w:t>The chart above shows the metastatic relapses of patients before and after treatment with BNT121. Each horizontal line</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represents the time course of a single patient. The vertical line indicates the treatment start of BNT121. Source: Nature 547, 222-226 (13 July 2017).</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expect to report a topline data update from our RO7198457 (BNT122) first-line Phase 2 melanoma trial in the second half of 2020 and report a data update from our RO7198457 (BNT122) Phase 1a/1b solid tumor trial, in 2020. We and Genentech are considering a number of additional investments which could start as early as 2020.</w:t>
      </w:r>
    </w:p>
    <w:p>
      <w:pPr>
        <w:spacing w:after="0" w:line="330" w:lineRule="exact"/>
        <w:rPr>
          <w:sz w:val="20"/>
          <w:szCs w:val="20"/>
          <w:color w:val="auto"/>
        </w:rPr>
      </w:pPr>
    </w:p>
    <w:p>
      <w:pPr>
        <w:ind w:left="1620" w:hanging="430"/>
        <w:spacing w:after="0"/>
        <w:tabs>
          <w:tab w:leader="none" w:pos="1620" w:val="left"/>
        </w:tabs>
        <w:numPr>
          <w:ilvl w:val="0"/>
          <w:numId w:val="1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Intratumoral Immunotherapy</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in collaboration with Sanofi, are developing intratumoral immunotherapies utilizing our proprietary mRNA technology. These immunotherapies are designed to be administered directly into the tumor in order to alter the tumor microenvironment and enhance the immune system’s ability to recognize and fight cancer within the tumor (proximal) as well as in other untreated locations (distal).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80" w:hanging="545"/>
        <w:spacing w:after="0"/>
        <w:tabs>
          <w:tab w:leader="none" w:pos="218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SAR441000 (BNT131): Our Initial Intratumoral Immunotherapy for the Treatment of Solid Tumors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and Sanofi are developing SAR441000 (BNT131) as an intratumoral immunotherapy for the treatment of solid tumors. SAR441000 (BNT131) consists of modified mRNA that is injected directly into the tumor, where it is thought to express cytokines to alter the tumor microenvironment. SAR441000 (BNT131) is being studied in a Sanofi-sponsored Phase 1 clinical trial as a monotherapy in patients with advanced melanoma and in combination with an anti-PD-1/PD-L1 checkpoint inhibitor in patients with advanced melanoma and certain advanced solid tumors.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SAR441000 (BNT131) Targets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SAR441000 (BNT131) comprises mRNA that encodes the cytokines IL-12sc, IL-15sushi, IFN-α and GM-CSF. By expressing these cytokines in the tumor microenvironment, the immune system may more easily recognize and fight cancer.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SAR441000 (BNT131) Clinical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 Clinical Trial</w:t>
      </w:r>
    </w:p>
    <w:p>
      <w:pPr>
        <w:spacing w:after="0" w:line="11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Sanofi, in collaboration with BioNTech, has commenced a first-in-human, multi-center, open-label, Phase 1, dose escalation and expansion trial to evaluate the safety, pharmacokinetics, pharmacodynamics and anti-tumor activity of SAR441000 (BNT131) administered intratumorally as monotherapy and in combination with cemiplimab, with an estimated enrollment of 264 patients with certain advanced solid tumors.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SAR441000 (BNT131) Preclinical Studies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In collaboration with Sanofi, we conducted a preclinical study of SAR441000 (BNT131) in mouse tumor models. In these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the anti-tumor activity of cytokines encoded by mRNA was driven by the action of T cells as well as NK cells and was accompanied by robust intratumoral induction of interferon gamma, systemic expansion of antigen-specific T cells and increased granzyme B positive CD8</w:t>
      </w:r>
      <w:r>
        <w:rPr>
          <w:rFonts w:ascii="Arial" w:cs="Arial" w:eastAsia="Arial" w:hAnsi="Arial"/>
          <w:sz w:val="13"/>
          <w:szCs w:val="13"/>
          <w:color w:val="auto"/>
        </w:rPr>
        <w:t>+</w:t>
      </w:r>
      <w:r>
        <w:rPr>
          <w:rFonts w:ascii="Arial" w:cs="Arial" w:eastAsia="Arial" w:hAnsi="Arial"/>
          <w:sz w:val="16"/>
          <w:szCs w:val="16"/>
          <w:color w:val="auto"/>
        </w:rPr>
        <w:t xml:space="preserve"> T cell infiltration.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SAR441000 (BNT131) was shown to form immunological memory toward both dominant and subdominant antigens, which protected long-term survivors from re-challenge with autologous tumors. Importantly, although cytokine mRNAs were administered intratumorally, resulting in local target expression, anti-tumor activity extended beyond the injected tumor to effectively control the growth of distal tumors in both a dual-tumor model and an experimental lung metastasis model. Finally, SAR441000 (BNT131) demonstrated improved overall survival and higher incidence of complete tumor regressions across several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146050</wp:posOffset>
            </wp:positionV>
            <wp:extent cx="4528185" cy="28987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52818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line="230" w:lineRule="auto"/>
        <w:rPr>
          <w:sz w:val="20"/>
          <w:szCs w:val="20"/>
          <w:color w:val="auto"/>
        </w:rPr>
      </w:pPr>
      <w:r>
        <w:rPr>
          <w:rFonts w:ascii="Arial" w:cs="Arial" w:eastAsia="Arial" w:hAnsi="Arial"/>
          <w:sz w:val="14"/>
          <w:szCs w:val="14"/>
          <w:b w:val="1"/>
          <w:bCs w:val="1"/>
          <w:color w:val="auto"/>
        </w:rPr>
        <w:t xml:space="preserve">Systemic anti-tumor effects in mouse model. </w:t>
      </w:r>
      <w:r>
        <w:rPr>
          <w:rFonts w:ascii="Arial" w:cs="Arial" w:eastAsia="Arial" w:hAnsi="Arial"/>
          <w:sz w:val="14"/>
          <w:szCs w:val="14"/>
          <w:color w:val="auto"/>
        </w:rPr>
        <w:t>As shown above, BNT131 demonstrated local and systemic anti-tumor effects of intratumoral cytokine mRNA. In this study, mice were</w:t>
      </w:r>
      <w:r>
        <w:rPr>
          <w:rFonts w:ascii="Arial" w:cs="Arial" w:eastAsia="Arial" w:hAnsi="Arial"/>
          <w:sz w:val="14"/>
          <w:szCs w:val="14"/>
          <w:b w:val="1"/>
          <w:bCs w:val="1"/>
          <w:color w:val="auto"/>
        </w:rPr>
        <w:t xml:space="preserve"> </w:t>
      </w:r>
      <w:r>
        <w:rPr>
          <w:rFonts w:ascii="Arial" w:cs="Arial" w:eastAsia="Arial" w:hAnsi="Arial"/>
          <w:sz w:val="14"/>
          <w:szCs w:val="14"/>
          <w:color w:val="auto"/>
        </w:rPr>
        <w:t>implanted with a tumor on each of the right and left flank. One tumor was injected with intratumoral cytokine mRNA (or control mRNA) while the other was not. The top center figure shows the tumor volume of the treated tumor (red line) against the control (blue line). The top right figure shows an anti-tumor effect on the untreated tumor (red line) against the control (blue line). The figures on the bottom show the abscopal effect of an intratumoral cytokine mRNA (center bottom) on distal lung metastases compared to the control mRNA (right bottom). Source: Wagenaar et al., Local immunotherapy with a mixture of mRNAs encoding pro-inflammatory cytokines promotes potent anti-tumor immunity and tumor eradication across multiple preclinical tumor models; poster presented at SITC 2018.</w:t>
      </w:r>
    </w:p>
    <w:p>
      <w:pPr>
        <w:spacing w:after="0" w:line="19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Based on these preclinical results, we intend to investigate whether our synthetic mRNA technology can potentially deliver localized cytokine-based cancer immunotherapy with broad anti-tumor activity against treated and untreated lesions.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 data update from this trial may be reported in the second half of 2020. As the trial is sponsored and conducted by Sanofi, the timing of data updates is not under our control, and is subject to change by Sanofi.</w:t>
      </w:r>
    </w:p>
    <w:p>
      <w:pPr>
        <w:spacing w:after="0" w:line="319" w:lineRule="exact"/>
        <w:rPr>
          <w:sz w:val="20"/>
          <w:szCs w:val="20"/>
          <w:color w:val="auto"/>
        </w:rPr>
      </w:pPr>
    </w:p>
    <w:p>
      <w:pPr>
        <w:ind w:left="1620" w:hanging="430"/>
        <w:spacing w:after="0"/>
        <w:tabs>
          <w:tab w:leader="none" w:pos="1620" w:val="left"/>
        </w:tabs>
        <w:numPr>
          <w:ilvl w:val="0"/>
          <w:numId w:val="1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RiboMabs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Our RiboMab product candidates are designed to encode secreted antibodies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RiboMab product candidates consist of our proprietary nucleoside-modified mRNA that is designed to minimize the immunomodulatory activity of the mRNA, and these candidates are formulated using liver-targeting LNPs for intravenous delivery. RiboMabs potentially address the limitations of recombinent antibodies, including costly manufacturing processes and unfavorable pharmacokinetics, such as short plasma</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80"/>
          </w:cols>
          <w:pgMar w:left="240" w:top="460"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half-life. We are conducting preclinical studies for two development candidates, and have published compelling preclinical data.</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RiboMab Preclinical Studies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We have generated RiboMabs targeting different tumor antigens and tested their therapeutic potency in mice engrafted with human tumors that were repopulated with human immune cells. We demonstrated in preclinical studies that injection with a RiboMab product candidate encoding bispecific RiboMabs directed against CD3 and CLDN6 antigens resulted in elimination of aggressively growing, large tumors. Intravenously administering a microgram dose of mRNA encoding RiboMabs resulted in bispecific RiboMab production in the liver cells and rapid secretion into circulation, reaching peak plasma concentration within hours and remaining at therapeutically effective levels for one week. The dosage and frequency of dosing of recombinant bispecific antibodies required to produce similar effects was substantially greater. This was the first preclinical study to demonstrate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application of mRNA-encoded antibodies for the successful treatment of cancer.</w:t>
      </w:r>
    </w:p>
    <w:p>
      <w:pPr>
        <w:spacing w:after="0" w:line="322" w:lineRule="exact"/>
        <w:rPr>
          <w:sz w:val="20"/>
          <w:szCs w:val="20"/>
          <w:color w:val="auto"/>
        </w:rPr>
      </w:pPr>
    </w:p>
    <w:p>
      <w:pPr>
        <w:ind w:left="2180" w:hanging="545"/>
        <w:spacing w:after="0"/>
        <w:tabs>
          <w:tab w:leader="none" w:pos="218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BNT141: Our Initial RiboMab for the Treatment of Solid Tumors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BNT141 is our RiboMab product candidate for the treatment of solid tumors. BNT141 is designed to encode secreted IgG antibodies.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BNT141 Targets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BNT141 is designed to encode secreted antibodies that target multiple epithelial solid tumors, including gastric and pancreatic cancers.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expect to initiate a Phase 1 basket trial of BNT141 for the treatment of various solid tumors, including gastrointestinal tumors, in the second half of 2020.</w:t>
      </w:r>
    </w:p>
    <w:p>
      <w:pPr>
        <w:spacing w:after="0" w:line="315" w:lineRule="exact"/>
        <w:rPr>
          <w:sz w:val="20"/>
          <w:szCs w:val="20"/>
          <w:color w:val="auto"/>
        </w:rPr>
      </w:pPr>
    </w:p>
    <w:p>
      <w:pPr>
        <w:ind w:left="2180" w:hanging="545"/>
        <w:spacing w:after="0"/>
        <w:tabs>
          <w:tab w:leader="none" w:pos="218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BNT142: Our Second RiboMab for the Treatment of Solid Tumors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BNT142 is our RiboMab product candidate for the treatment of solid tumors. BNT142 is designed to encode a secreted bispecific antibody that targets CD3 and CLDN6.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BNT142 Targets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BNT142 is designed to encode bispecific antibodies that target CD3, a T cell receptor that plays a key role in the activation of CD8</w:t>
      </w:r>
      <w:r>
        <w:rPr>
          <w:rFonts w:ascii="Arial" w:cs="Arial" w:eastAsia="Arial" w:hAnsi="Arial"/>
          <w:sz w:val="15"/>
          <w:szCs w:val="15"/>
          <w:color w:val="auto"/>
        </w:rPr>
        <w:t>+</w:t>
      </w:r>
      <w:r>
        <w:rPr>
          <w:rFonts w:ascii="Arial" w:cs="Arial" w:eastAsia="Arial" w:hAnsi="Arial"/>
          <w:sz w:val="18"/>
          <w:szCs w:val="18"/>
          <w:color w:val="auto"/>
        </w:rPr>
        <w:t xml:space="preserve"> and CD4</w:t>
      </w:r>
      <w:r>
        <w:rPr>
          <w:rFonts w:ascii="Arial" w:cs="Arial" w:eastAsia="Arial" w:hAnsi="Arial"/>
          <w:sz w:val="15"/>
          <w:szCs w:val="15"/>
          <w:color w:val="auto"/>
        </w:rPr>
        <w:t>+</w:t>
      </w:r>
      <w:r>
        <w:rPr>
          <w:rFonts w:ascii="Arial" w:cs="Arial" w:eastAsia="Arial" w:hAnsi="Arial"/>
          <w:sz w:val="18"/>
          <w:szCs w:val="18"/>
          <w:color w:val="auto"/>
        </w:rPr>
        <w:t xml:space="preserve"> T cells, and CLDN6, a highly specific oncofetal cell surface antigen that is found in solid tumors, but not in normal cells.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 basket trial of BNT142 for the treatment of numerous solid tumors in the second half of 2020.</w:t>
      </w:r>
    </w:p>
    <w:p>
      <w:pPr>
        <w:spacing w:after="0" w:line="374" w:lineRule="exact"/>
        <w:rPr>
          <w:sz w:val="20"/>
          <w:szCs w:val="20"/>
          <w:color w:val="auto"/>
        </w:rPr>
      </w:pPr>
    </w:p>
    <w:p>
      <w:pPr>
        <w:ind w:left="1620" w:hanging="430"/>
        <w:spacing w:after="0"/>
        <w:tabs>
          <w:tab w:leader="none" w:pos="1620" w:val="left"/>
        </w:tabs>
        <w:numPr>
          <w:ilvl w:val="0"/>
          <w:numId w:val="2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RiboCytokines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 xml:space="preserve">Our RiboCytokine product candidates utilize mRNA that encodes the desired cytokines for expression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the patient’s cells. RiboCytokine product candidates consist of modified mRNA designed to encode secreted cytokines that are formulated to use liver-targeting LNP for intravenous delivery.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RiboCytokine product candidates are designed to address the limitations of recombinantly expressed cytokines, including limited serum half-life and production costs. We are developing RiboCytokines to be used primarily in combination with other drugs, including our other pipeline candidates.</w:t>
      </w:r>
    </w:p>
    <w:p>
      <w:pPr>
        <w:spacing w:after="0" w:line="326" w:lineRule="exact"/>
        <w:rPr>
          <w:sz w:val="20"/>
          <w:szCs w:val="20"/>
          <w:color w:val="auto"/>
        </w:rPr>
      </w:pPr>
    </w:p>
    <w:p>
      <w:pPr>
        <w:ind w:left="1640"/>
        <w:spacing w:after="0"/>
        <w:tabs>
          <w:tab w:leader="none" w:pos="19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BNT151:Our Initial RiboCytokine for the Treatment of Solid Tumors</w:t>
      </w:r>
    </w:p>
    <w:p>
      <w:pPr>
        <w:spacing w:after="0" w:line="12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We are developing BNT151, our RiboCytokine designed to encode a modified version of the human interleukin-2, or optimized IL-2, cytokine for the treatment of solid tumors. BNT151 is designed to stimulate T cells without triggering immunosuppression in the tumor microenvironment.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BNT151 Target</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BNT151 comprises our nucleoside-modified mRNA that encodes mRNA for a function-modified IL-2. IL-2 is a key cytokine in T cell immunity, supporting the differentiation, proliferation, survival and effector functions of T cells.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Recombinant IL-2, aldesleukin, was the first approved cancer immunotherapy, and has been marketed globally for the treatment of late stage melanoma and renal cell cancer for decades. Most patients with complete responses after IL-2 treatment remain regression free for more than 25 years after initial treatment, but overall response rates are low due in part to the limitations of recombinant cytokines. Recombinant IL-2 has a very short half-life, requiring high and frequent dosing and a partially unfavorable activity profile, which leads to increased side effects, thus limiting its utility as a cancer treatment.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 clinical basket trial of BNT151 for the treatment of multiple solid tumors in the first half of 2020.</w:t>
      </w:r>
    </w:p>
    <w:p>
      <w:pPr>
        <w:spacing w:after="0" w:line="370" w:lineRule="exact"/>
        <w:rPr>
          <w:sz w:val="20"/>
          <w:szCs w:val="20"/>
          <w:color w:val="auto"/>
        </w:rPr>
      </w:pPr>
    </w:p>
    <w:p>
      <w:pPr>
        <w:ind w:left="1640"/>
        <w:spacing w:after="0"/>
        <w:tabs>
          <w:tab w:leader="none" w:pos="196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BNT152:Our Second RiboCytokine for the Treatment of Solid Tumors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developing BNT152, our RiboCytokine designed to encode IL-7 for the treatment of solid tumors.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 clinical trial of BNT152 for the treatment of multiple solid tumors in the second half of 2020.</w:t>
      </w:r>
    </w:p>
    <w:p>
      <w:pPr>
        <w:spacing w:after="0" w:line="370" w:lineRule="exact"/>
        <w:rPr>
          <w:sz w:val="20"/>
          <w:szCs w:val="20"/>
          <w:color w:val="auto"/>
        </w:rPr>
      </w:pPr>
    </w:p>
    <w:p>
      <w:pPr>
        <w:ind w:left="1640"/>
        <w:spacing w:after="0"/>
        <w:tabs>
          <w:tab w:leader="none" w:pos="19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BNT153:Our IL-2 variant RiboCytokine for the Treatment of Solid Tumors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developing BNT153, our RiboCytokine designed to secrete IL-2 for the treatment of solid tumors.</w:t>
      </w:r>
    </w:p>
    <w:p>
      <w:pPr>
        <w:spacing w:after="0" w:line="370" w:lineRule="exact"/>
        <w:rPr>
          <w:sz w:val="20"/>
          <w:szCs w:val="20"/>
          <w:color w:val="auto"/>
        </w:rPr>
      </w:pPr>
    </w:p>
    <w:p>
      <w:pPr>
        <w:ind w:left="1620" w:hanging="430"/>
        <w:spacing w:after="0"/>
        <w:tabs>
          <w:tab w:leader="none" w:pos="162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Our Oncology Engineered Cell Therapy Product Candidates</w:t>
      </w:r>
    </w:p>
    <w:p>
      <w:pPr>
        <w:spacing w:after="0" w:line="135" w:lineRule="exact"/>
        <w:rPr>
          <w:sz w:val="20"/>
          <w:szCs w:val="20"/>
          <w:color w:val="auto"/>
        </w:rPr>
      </w:pPr>
    </w:p>
    <w:p>
      <w:pPr>
        <w:ind w:left="2180" w:hanging="545"/>
        <w:spacing w:after="0"/>
        <w:tabs>
          <w:tab w:leader="none" w:pos="2180" w:val="left"/>
        </w:tabs>
        <w:numPr>
          <w:ilvl w:val="0"/>
          <w:numId w:val="20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CAR T</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are advancing multiple CAR T product candidates, the most advanced of which, BNT211, is targeting the novel and highly specific target CLDN6</w:t>
      </w:r>
      <w:r>
        <w:rPr>
          <w:rFonts w:ascii="Arial" w:cs="Arial" w:eastAsia="Arial" w:hAnsi="Arial"/>
          <w:sz w:val="15"/>
          <w:szCs w:val="15"/>
          <w:color w:val="auto"/>
        </w:rPr>
        <w:t>+</w:t>
      </w:r>
      <w:r>
        <w:rPr>
          <w:rFonts w:ascii="Arial" w:cs="Arial" w:eastAsia="Arial" w:hAnsi="Arial"/>
          <w:sz w:val="18"/>
          <w:szCs w:val="18"/>
          <w:color w:val="auto"/>
        </w:rPr>
        <w:t xml:space="preserve"> in solid tumors, and which we expect to enter the clinic in the second half of 2019 for the treatment of CLDN6</w:t>
      </w:r>
      <w:r>
        <w:rPr>
          <w:rFonts w:ascii="Arial" w:cs="Arial" w:eastAsia="Arial" w:hAnsi="Arial"/>
          <w:sz w:val="15"/>
          <w:szCs w:val="15"/>
          <w:color w:val="auto"/>
        </w:rPr>
        <w:t>+</w:t>
      </w:r>
      <w:r>
        <w:rPr>
          <w:rFonts w:ascii="Arial" w:cs="Arial" w:eastAsia="Arial" w:hAnsi="Arial"/>
          <w:sz w:val="18"/>
          <w:szCs w:val="18"/>
          <w:color w:val="auto"/>
        </w:rPr>
        <w:t xml:space="preserve"> solid tumors, including ovarian cancer. We plan to use our initial CAR-T cell product candidates in combination with a FixVac immunotherapy that encodes the same target as the CAR T. The FixVac selectively targets dendritic cells, which leads to uptake, antigen expression and maturation of the dendritic cells. The co-stimulation provided by dendritic cell maturation has been shown in preclinical studies to amplify and expand CAR-T cells </w:t>
      </w:r>
      <w:r>
        <w:rPr>
          <w:rFonts w:ascii="Arial" w:cs="Arial" w:eastAsia="Arial" w:hAnsi="Arial"/>
          <w:sz w:val="18"/>
          <w:szCs w:val="18"/>
          <w:i w:val="1"/>
          <w:iCs w:val="1"/>
          <w:color w:val="auto"/>
        </w:rPr>
        <w:t>in vivo</w:t>
      </w:r>
      <w:r>
        <w:rPr>
          <w:rFonts w:ascii="Arial" w:cs="Arial" w:eastAsia="Arial" w:hAnsi="Arial"/>
          <w:sz w:val="18"/>
          <w:szCs w:val="18"/>
          <w:color w:val="auto"/>
        </w:rPr>
        <w:t>, leading to increased persistence of the CAR 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80"/>
          </w:cols>
          <w:pgMar w:left="240" w:top="460"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80" w:hanging="545"/>
        <w:spacing w:after="0"/>
        <w:tabs>
          <w:tab w:leader="none" w:pos="21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BNT211: Our CAR T Cell Therapy for the Treatment of CLDN6</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Solid Tumors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BNT211 is our CAR-T cell therapy for the treatment of CLDN6</w:t>
      </w:r>
      <w:r>
        <w:rPr>
          <w:rFonts w:ascii="Arial" w:cs="Arial" w:eastAsia="Arial" w:hAnsi="Arial"/>
          <w:sz w:val="15"/>
          <w:szCs w:val="15"/>
          <w:color w:val="auto"/>
        </w:rPr>
        <w:t>+</w:t>
      </w:r>
      <w:r>
        <w:rPr>
          <w:rFonts w:ascii="Arial" w:cs="Arial" w:eastAsia="Arial" w:hAnsi="Arial"/>
          <w:sz w:val="18"/>
          <w:szCs w:val="18"/>
          <w:color w:val="auto"/>
        </w:rPr>
        <w:t xml:space="preserve"> solid tumors. BNT211 targets CLDN6 and will initially be evaluated in combination with a CARVac that encodes CLDN6.</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BNT211 Target</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BNT211 targets Claudin 6, or CLDN6, a highly specific oncofetal cell surface antigen that is found in multiple cancers, including ovarian, testicular and lung cancers, but not in normal cells.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BNT211 Trials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Planned Phase 1/2 Clinical Trial</w:t>
      </w:r>
    </w:p>
    <w:p>
      <w:pPr>
        <w:spacing w:after="0" w:line="121" w:lineRule="exact"/>
        <w:rPr>
          <w:sz w:val="20"/>
          <w:szCs w:val="20"/>
          <w:color w:val="auto"/>
        </w:rPr>
      </w:pPr>
    </w:p>
    <w:p>
      <w:pPr>
        <w:jc w:val="both"/>
        <w:ind w:left="200" w:right="520" w:firstLine="441"/>
        <w:spacing w:after="0" w:line="259" w:lineRule="auto"/>
        <w:rPr>
          <w:sz w:val="20"/>
          <w:szCs w:val="20"/>
          <w:color w:val="auto"/>
        </w:rPr>
      </w:pPr>
      <w:r>
        <w:rPr>
          <w:rFonts w:ascii="Arial" w:cs="Arial" w:eastAsia="Arial" w:hAnsi="Arial"/>
          <w:sz w:val="18"/>
          <w:szCs w:val="18"/>
          <w:color w:val="auto"/>
        </w:rPr>
        <w:t>We anticipate initiating a Phase 1/2 open-label, multi-center dose escalation and dose expansion basket study of BNT211 with or without a CLDN6 CARVac immunotherapy in the first half of 2020. We anticipate enrolling patients with advanced solid tumor malignancies who express CLDN6. While our preclinical focus has been on ovarian cancer, we expect patients with uterine, testicular, lung and gastric cancers may also be enrolled in our upcoming CAR T trials.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observed compelling preclinical data of BNT211 demonstrating potent anti-tumoral activity, including eradication of advanced tumors in an ovarian carcinoma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134620</wp:posOffset>
            </wp:positionV>
            <wp:extent cx="2529840" cy="26155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29840"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 xml:space="preserve">Potent anti-tumoral activity. </w:t>
      </w:r>
      <w:r>
        <w:rPr>
          <w:rFonts w:ascii="Arial" w:cs="Arial" w:eastAsia="Arial" w:hAnsi="Arial"/>
          <w:sz w:val="14"/>
          <w:szCs w:val="14"/>
          <w:color w:val="auto"/>
        </w:rPr>
        <w:t>As shown above, BNT211 demonstrated eradication of advanced tumors in a mouse model.</w:t>
      </w:r>
    </w:p>
    <w:p>
      <w:pPr>
        <w:spacing w:after="0" w:line="1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60"/>
          </w:cols>
          <w:pgMar w:left="240" w:top="459" w:right="4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planning to initiate a Phase 1/2 clinical trial of the combination of BNT211 and a CLDN6-encoded CARVac in the first half of 2020 for the treatment of CLDN6</w:t>
      </w:r>
      <w:r>
        <w:rPr>
          <w:rFonts w:ascii="Arial" w:cs="Arial" w:eastAsia="Arial" w:hAnsi="Arial"/>
          <w:sz w:val="15"/>
          <w:szCs w:val="15"/>
          <w:color w:val="auto"/>
        </w:rPr>
        <w:t>+</w:t>
      </w:r>
      <w:r>
        <w:rPr>
          <w:rFonts w:ascii="Arial" w:cs="Arial" w:eastAsia="Arial" w:hAnsi="Arial"/>
          <w:sz w:val="18"/>
          <w:szCs w:val="18"/>
          <w:color w:val="auto"/>
        </w:rPr>
        <w:t xml:space="preserve"> solid tumors.</w:t>
      </w:r>
    </w:p>
    <w:p>
      <w:pPr>
        <w:spacing w:after="0" w:line="315" w:lineRule="exact"/>
        <w:rPr>
          <w:sz w:val="20"/>
          <w:szCs w:val="20"/>
          <w:color w:val="auto"/>
        </w:rPr>
      </w:pPr>
    </w:p>
    <w:p>
      <w:pPr>
        <w:ind w:left="2180" w:hanging="545"/>
        <w:spacing w:after="0"/>
        <w:tabs>
          <w:tab w:leader="none" w:pos="21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BNT212: Our CAR T Cell Therapy for the Treatment of CLDN18.2</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Solid Tumors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BNT212 is our CAR-T cell therapy for the treatment of CLDN18.2-positive solid tumors. BNT212 will initially be evaluated in combination with a CARVac that encodes CLDN18.2.</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BNT212 Target</w:t>
      </w:r>
    </w:p>
    <w:p>
      <w:pPr>
        <w:spacing w:after="0" w:line="11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BNT212 targets Claudin 18.2, or CLDN18.2, a highly specific target that is only expressed in cancer and in differentiated epithelial cells of the gastric mucosa, but it is absent from the gastric stem cell zone. CLDN18.2 is expressed in numerous epithelial solid tumors, including gastric, pancreatic, esophageal, ovarian and lung tumors.</w:t>
      </w:r>
    </w:p>
    <w:p>
      <w:pPr>
        <w:spacing w:after="0" w:line="326" w:lineRule="exact"/>
        <w:rPr>
          <w:sz w:val="20"/>
          <w:szCs w:val="20"/>
          <w:color w:val="auto"/>
        </w:rPr>
      </w:pPr>
    </w:p>
    <w:p>
      <w:pPr>
        <w:ind w:left="1620" w:hanging="430"/>
        <w:spacing w:after="0"/>
        <w:tabs>
          <w:tab w:leader="none" w:pos="162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Our TCR Product Candidates in Oncology</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are developing T cell receptor therapies for the treatment of cancer, including in collaboration with Eli Lilly. Under our collaboration, Eli Lilly has an exclusive option to pursue clinical development of certain potential TCR product candidates. We and Eli Lilly have concluded the research phase of the collaboration and Eli Lilly has exercised its option and selected a target to develop and commercialize.</w:t>
      </w:r>
    </w:p>
    <w:p>
      <w:pPr>
        <w:spacing w:after="0" w:line="310" w:lineRule="exact"/>
        <w:rPr>
          <w:sz w:val="20"/>
          <w:szCs w:val="20"/>
          <w:color w:val="auto"/>
        </w:rPr>
      </w:pPr>
    </w:p>
    <w:p>
      <w:pPr>
        <w:ind w:left="1620" w:hanging="430"/>
        <w:spacing w:after="0"/>
        <w:tabs>
          <w:tab w:leader="none" w:pos="162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Our Antibody Product Candidates in Oncology</w:t>
      </w:r>
    </w:p>
    <w:p>
      <w:pPr>
        <w:spacing w:after="0" w:line="135" w:lineRule="exact"/>
        <w:rPr>
          <w:sz w:val="20"/>
          <w:szCs w:val="20"/>
          <w:color w:val="auto"/>
        </w:rPr>
      </w:pPr>
    </w:p>
    <w:p>
      <w:pPr>
        <w:ind w:left="2180" w:hanging="545"/>
        <w:spacing w:after="0"/>
        <w:tabs>
          <w:tab w:leader="none" w:pos="2180" w:val="left"/>
        </w:tabs>
        <w:numPr>
          <w:ilvl w:val="0"/>
          <w:numId w:val="2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Next-Generation Checkpoint Immunomodulators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collaboration with Genmab, we are currently studying two bispecific antibody checkpoint immunomodulators.</w:t>
      </w:r>
    </w:p>
    <w:p>
      <w:pPr>
        <w:spacing w:after="0" w:line="248" w:lineRule="exact"/>
        <w:rPr>
          <w:sz w:val="20"/>
          <w:szCs w:val="20"/>
          <w:color w:val="auto"/>
        </w:rPr>
      </w:pPr>
    </w:p>
    <w:p>
      <w:pPr>
        <w:ind w:left="2600" w:right="400" w:hanging="424"/>
        <w:spacing w:after="0" w:line="282" w:lineRule="auto"/>
        <w:tabs>
          <w:tab w:leader="none" w:pos="260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GEN1046 (BNT311): Our Jointly Owned DuoBody PD-L1x4-1BB Bispecific Antibody for the Treatment of Solid Tumors</w:t>
      </w:r>
    </w:p>
    <w:p>
      <w:pPr>
        <w:spacing w:after="0" w:line="166"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GEN1046 (BNT311), our jointly owned PD-L1x4-1BB product candidate, is a potential first-in-class bispecific antibody combining PD-L1 checkpoint inhibition with 4-1BB checkpoint activation. The first patient in a Phase 1/2a trial of GEN1046 (BNT311) for the treatment of malignant solid tumors was dosed in May 2019.</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GEN1046 (BNT311) Targets</w:t>
      </w:r>
    </w:p>
    <w:p>
      <w:pPr>
        <w:spacing w:after="0" w:line="117"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GEN1046 (BNT311) is a PD-L1x4-1BB bispecific antibody that induces conditional activation of T cells through 4-1BB stimulation which is dependent on simultaneous binding to PD-L1. In addition, the PD-L1-specific arm of DuoBody-PD-L1x4-1BB functions as a classical immune checkpoint inhibitor by blocking the PD-1/PD-L1 axis, also in the absence of 4-1BB binding. PD-L1 is a validated target that is expressed on tumor cells. 4-1BB is a trans-membrane receptor belonging to the TNF super-family and is expressed predominantly on activated T cells.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GEN1046 (BNT311) Trials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Ongoing Phase 1/2a Clinical Trial</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ongoing Phase 1/2a, open-label, single-arm GEN1046 (BNT311) trial with multiple expansion cohorts, conducted in collaboration with an executed by Genmab, is expected to enroll approximately 192 patients with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00"/>
          </w:cols>
          <w:pgMar w:left="240" w:top="460"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malignant solid tumors. The trial consists of a dose escalation part and an expansion part. The dose escalation part will determine the safety profile of GEN1046 (BNT311) in subjects with certain relapsed or refractory, advanced and/or metastatic malignant solid tumors who are no longer candidates for standard therapy. The expansion part will be initiated once the recommended Phase 2 dose has been established in Phase 1. In the expansion part, GEN1046 (BNT311) will be administered intravenously once every 21 days. The primary endpoints of the trial are dose-limiting toxicities, adverse events and safety laboratory parameters, including hematology, biochemistry, coagulation and endocrinology.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preclinical settings, GEN1046 (BNT311) induces conditional activation of T cells through 4-1BB stimulation which is dependent on simultaneous binding to PD-L1. In addition, the PD-L1-specific arm of DuoBody-PD-L1x4-1BB functions as a classical immune checkpoint inhibitor by blocking the PD-1/PD-L1 axis.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report a data update for our ongoing Phase 1/2 trial in the first half of 2021.</w:t>
      </w:r>
    </w:p>
    <w:p>
      <w:pPr>
        <w:spacing w:after="0" w:line="370" w:lineRule="exact"/>
        <w:rPr>
          <w:sz w:val="20"/>
          <w:szCs w:val="20"/>
          <w:color w:val="auto"/>
        </w:rPr>
      </w:pPr>
    </w:p>
    <w:p>
      <w:pPr>
        <w:ind w:left="2180" w:right="500" w:hanging="545"/>
        <w:spacing w:after="0" w:line="282" w:lineRule="auto"/>
        <w:tabs>
          <w:tab w:leader="none" w:pos="21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GEN1042 (BNT312): Our Jointly Owned DuoBody CD40x4-1BB Bispecific Antibody for the Treatment of Solid Tumors</w:t>
      </w:r>
    </w:p>
    <w:p>
      <w:pPr>
        <w:spacing w:after="0" w:line="58"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GEN1042 (BNT312), our jointly owned CD40x4-1BB antibody product candidate, is a potential first-in-class bispecific antibody designed to induce conditional immune activation by crosslinking CD40 and 4-1BB positive cells. We and Genmab began recruitment and screening for a Phase 1/2a trial of GEN1042 (BNT312) for the treatment of malignant solid tumors in August 2019.</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GEN1042 (BNT312) Targets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GEN1042 (BNT312) is a bispecific antibody designed to enhance an anti-tumor immune response through conditional CD40-mediated stimulation of antigen presenting cells crosslinked with conditional stimulation of 4-1BB</w:t>
      </w:r>
      <w:r>
        <w:rPr>
          <w:rFonts w:ascii="Arial" w:cs="Arial" w:eastAsia="Arial" w:hAnsi="Arial"/>
          <w:sz w:val="15"/>
          <w:szCs w:val="15"/>
          <w:color w:val="auto"/>
        </w:rPr>
        <w:t>+</w:t>
      </w:r>
      <w:r>
        <w:rPr>
          <w:rFonts w:ascii="Arial" w:cs="Arial" w:eastAsia="Arial" w:hAnsi="Arial"/>
          <w:sz w:val="18"/>
          <w:szCs w:val="18"/>
          <w:color w:val="auto"/>
        </w:rPr>
        <w:t xml:space="preserve"> T cells. The cell surface molecule CD40 is a member of the tumor necrosis factor receptor superfamily.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GEN1042 (BNT312) Preclinical Studies</w:t>
      </w:r>
    </w:p>
    <w:p>
      <w:pPr>
        <w:spacing w:after="0" w:line="11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GEN1042 (BNT312) is designed to target CD40 and 4-1BB to enhance both dendritic cell and antigen-dependent T cell activation. In preclinical settings, GEN1042 (BNT312) activated antigen presenting cells and enhanced T cell activation. Preclinical studies also indicated the conditional activation and (clonal) expansion of previously activated CD8</w:t>
      </w:r>
      <w:r>
        <w:rPr>
          <w:rFonts w:ascii="Arial" w:cs="Arial" w:eastAsia="Arial" w:hAnsi="Arial"/>
          <w:sz w:val="14"/>
          <w:szCs w:val="14"/>
          <w:color w:val="auto"/>
        </w:rPr>
        <w:t>+</w:t>
      </w:r>
      <w:r>
        <w:rPr>
          <w:rFonts w:ascii="Arial" w:cs="Arial" w:eastAsia="Arial" w:hAnsi="Arial"/>
          <w:sz w:val="17"/>
          <w:szCs w:val="17"/>
          <w:color w:val="auto"/>
        </w:rPr>
        <w:t xml:space="preserve"> T cells and cytokine production resulting from GEN1042 (BNT312).</w:t>
      </w:r>
    </w:p>
    <w:p>
      <w:pPr>
        <w:spacing w:after="0" w:line="314" w:lineRule="exact"/>
        <w:rPr>
          <w:sz w:val="20"/>
          <w:szCs w:val="20"/>
          <w:color w:val="auto"/>
        </w:rPr>
      </w:pPr>
    </w:p>
    <w:p>
      <w:pPr>
        <w:ind w:left="1620" w:hanging="430"/>
        <w:spacing w:after="0"/>
        <w:tabs>
          <w:tab w:leader="none" w:pos="1620" w:val="left"/>
        </w:tabs>
        <w:numPr>
          <w:ilvl w:val="0"/>
          <w:numId w:val="2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Targeted Cancer Antibodies</w:t>
      </w:r>
    </w:p>
    <w:p>
      <w:pPr>
        <w:spacing w:after="0" w:line="126" w:lineRule="exact"/>
        <w:rPr>
          <w:rFonts w:ascii="Arial" w:cs="Arial" w:eastAsia="Arial" w:hAnsi="Arial"/>
          <w:sz w:val="18"/>
          <w:szCs w:val="18"/>
          <w:b w:val="1"/>
          <w:bCs w:val="1"/>
          <w:i w:val="1"/>
          <w:iCs w:val="1"/>
          <w:color w:val="auto"/>
        </w:rPr>
      </w:pPr>
    </w:p>
    <w:p>
      <w:pPr>
        <w:ind w:left="2180" w:hanging="545"/>
        <w:spacing w:after="0"/>
        <w:tabs>
          <w:tab w:leader="none" w:pos="2180" w:val="left"/>
        </w:tabs>
        <w:numPr>
          <w:ilvl w:val="1"/>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MVT-5873 (BNT321): Our Targeted Cancer Antibody for the Treatment of Pancreatic Cancer</w:t>
      </w:r>
    </w:p>
    <w:p>
      <w:pPr>
        <w:spacing w:after="0" w:line="22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In May 2019, we acquired certain antibody assets from MabVax Therapeutics Holding, Inc., including MVT-5873 (BNT321), a clinical-stage targeted cancer antibody.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Pancreatic Cancer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American Cancer Society estimates that approximately 56,770 people will be diagnosed with pancreatic cancer in the United States in 2019.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Pancreatic cancer is an aggressive cancer, with a five-year survival rate from diagnosis, across all stages combined, of 9%.</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MVT-5873 (BNT321) Target</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MVT-5873 (BNT321) is a fully human IgG1 monoclonal antibody targeting sialyl Lewis A (sLe</w:t>
      </w:r>
      <w:r>
        <w:rPr>
          <w:rFonts w:ascii="Arial" w:cs="Arial" w:eastAsia="Arial" w:hAnsi="Arial"/>
          <w:sz w:val="15"/>
          <w:szCs w:val="15"/>
          <w:color w:val="auto"/>
        </w:rPr>
        <w:t>a</w:t>
      </w:r>
      <w:r>
        <w:rPr>
          <w:rFonts w:ascii="Arial" w:cs="Arial" w:eastAsia="Arial" w:hAnsi="Arial"/>
          <w:sz w:val="18"/>
          <w:szCs w:val="18"/>
          <w:color w:val="auto"/>
        </w:rPr>
        <w:t>), an epitope on CA19-9 that is expressed in pancreatic and other gastrointestinal cancers that plays a role in tumor adhesion and metastasis formation, and is a marker of an aggressive cancer phenotype.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MVT-5873 (BNT321) Trials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MVT-5873 (BNT321) is being investigated in an open-label, multi-center, non-randomized dose escalation Phase 1/2 study evaluating the safety and recommended Phase 2 dose of MVT-5873 (BNT321) both as a monotherapy and in combination with a standard of care chemotherapy in approximately 68 subjects with pancreatic and other CA19-9+ malignancies. Secondary objectives include evaluating tumor response rate by RECIST 1.1, duration of response, and determining pharmacokinetics. This study utilizes a conventional 3+3 design to identify the recommended Phase 2 dose.</w:t>
      </w:r>
    </w:p>
    <w:p>
      <w:pPr>
        <w:spacing w:after="0" w:line="154"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Interim data for the combination cohort was reported in February 2018. In this cohort, MVT-5873 (BNT321) was given in combination with nab-paclitaxel and gemcitabine to patients newly diagnosed with CA19-9+ pancreatic cancer. MVT-5873 (BNT321) at a dose of 0.125mg/kg when added to first-line chemotherapy was generally well tolerated by all subjects. All six patients evaluated had measurable tumor reductions by RECIST, with four patients meeting the criteria for partial response and two patients meeting the criteria for stable disease.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This trial is currently paused; however, once we have successfully updated the regulatory filings with respect to MVT-5873 (BNT321), we intend to resume the trial in the second half of 2019.</w:t>
      </w:r>
    </w:p>
    <w:p>
      <w:pPr>
        <w:spacing w:after="0" w:line="315" w:lineRule="exact"/>
        <w:rPr>
          <w:sz w:val="20"/>
          <w:szCs w:val="20"/>
          <w:color w:val="auto"/>
        </w:rPr>
      </w:pPr>
    </w:p>
    <w:p>
      <w:pPr>
        <w:ind w:left="1180" w:hanging="544"/>
        <w:spacing w:after="0"/>
        <w:tabs>
          <w:tab w:leader="none" w:pos="118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Our Oncology Small Molecule Immunomodulator Product Candidates</w:t>
      </w:r>
    </w:p>
    <w:p>
      <w:pPr>
        <w:spacing w:after="0" w:line="135" w:lineRule="exact"/>
        <w:rPr>
          <w:sz w:val="20"/>
          <w:szCs w:val="20"/>
          <w:color w:val="auto"/>
        </w:rPr>
      </w:pPr>
    </w:p>
    <w:p>
      <w:pPr>
        <w:ind w:left="1620" w:hanging="430"/>
        <w:spacing w:after="0"/>
        <w:tabs>
          <w:tab w:leader="none" w:pos="1620" w:val="left"/>
        </w:tabs>
        <w:numPr>
          <w:ilvl w:val="0"/>
          <w:numId w:val="2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BNT411: Our Small Molecule TLR7 Agonist for the Treatment of Colorectal and Bladder Cancer</w:t>
      </w:r>
    </w:p>
    <w:p>
      <w:pPr>
        <w:spacing w:after="0" w:line="117"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BNT411 is our novel small molecule TLR7 agonist product candidate. BNT411 is designed to activate both the adaptive and innate immune system through the TLR7 pathway. We are designing BNT411 to be used in combination with chemotherapy and checkpoint inhibitors.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BNT411 Target</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BNT411 is a TLR7 agonist that is designed to activate both the adaptive and innate immune system through the TLR7 pathway. This activity and the release of cytokines and chemokines are designed to result in the potent stimulation of antigen-specific CD8</w:t>
      </w:r>
      <w:r>
        <w:rPr>
          <w:rFonts w:ascii="Arial" w:cs="Arial" w:eastAsia="Arial" w:hAnsi="Arial"/>
          <w:sz w:val="15"/>
          <w:szCs w:val="15"/>
          <w:color w:val="auto"/>
        </w:rPr>
        <w:t>+</w:t>
      </w:r>
      <w:r>
        <w:rPr>
          <w:rFonts w:ascii="Arial" w:cs="Arial" w:eastAsia="Arial" w:hAnsi="Arial"/>
          <w:sz w:val="18"/>
          <w:szCs w:val="18"/>
          <w:color w:val="auto"/>
        </w:rPr>
        <w:t xml:space="preserve"> T cells, B cells and innate immune cells such as NK cells and macrophages.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BNT411 Preclinical Studies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 xml:space="preserve">In preclinical studies, BNT411 (SC1.2/Ago1.2) was shown to be more potent in the induction of IFN-α compared to the clinical competitor compound resiquimod (R848), even at lower concentrations (minimal effective concentration of BNT411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is 4nM). In contrast to the tested competitor compound, BNT411 was shown to induce at low concentrations especially IFN-α whereas other (pro-)inflammatory and CRS-related cytokines (IL-6, IL-10, TNF-α, IL-8) are only observed at higher concentrations.</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240" w:top="459" w:right="5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5188585" cy="18783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8858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a Phase 1 clinical trial of BNT411 as a combination therapy in solid tumors in the first half of 2020.</w:t>
      </w:r>
    </w:p>
    <w:p>
      <w:pPr>
        <w:spacing w:after="0" w:line="370" w:lineRule="exact"/>
        <w:rPr>
          <w:sz w:val="20"/>
          <w:szCs w:val="20"/>
          <w:color w:val="auto"/>
        </w:rPr>
      </w:pPr>
    </w:p>
    <w:p>
      <w:pPr>
        <w:ind w:left="1180" w:hanging="544"/>
        <w:spacing w:after="0"/>
        <w:tabs>
          <w:tab w:leader="none" w:pos="11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Our Infectious Disease mRNA Product Candidates</w:t>
      </w:r>
    </w:p>
    <w:p>
      <w:pPr>
        <w:spacing w:after="0" w:line="378" w:lineRule="exact"/>
        <w:rPr>
          <w:sz w:val="20"/>
          <w:szCs w:val="20"/>
          <w:color w:val="auto"/>
        </w:rPr>
      </w:pPr>
    </w:p>
    <w:p>
      <w:pPr>
        <w:ind w:left="1620" w:hanging="430"/>
        <w:spacing w:after="0"/>
        <w:tabs>
          <w:tab w:leader="none" w:pos="1620" w:val="left"/>
        </w:tabs>
        <w:numPr>
          <w:ilvl w:val="0"/>
          <w:numId w:val="2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Prophylactic Vaccine for the Prevention of Influenza</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are collaborating with Pfizer to develop an influenza vaccine based on our mRNA drug classes. The product candidate will encode influenza virus antigens selected by the WHO in advance of the flu season.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anticipate beginning a first clinical trial by the end of 2020.</w:t>
      </w:r>
    </w:p>
    <w:p>
      <w:pPr>
        <w:spacing w:after="0" w:line="374" w:lineRule="exact"/>
        <w:rPr>
          <w:sz w:val="20"/>
          <w:szCs w:val="20"/>
          <w:color w:val="auto"/>
        </w:rPr>
      </w:pPr>
    </w:p>
    <w:p>
      <w:pPr>
        <w:ind w:left="1620" w:hanging="430"/>
        <w:spacing w:after="0"/>
        <w:tabs>
          <w:tab w:leader="none" w:pos="1620" w:val="left"/>
        </w:tabs>
        <w:numPr>
          <w:ilvl w:val="0"/>
          <w:numId w:val="2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Infectious Diseases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a research collaboration with Penn, under which we have the exclusive option to develop and commercialize prophylactic mRNA immunotherapies for the treatment of up to 10 infectious disease indications. On September 20, 2019, Penn announced positive preclinical results of a vaccine product candidate using its mRNA technology. The preclinical study vaccinated mice and guinea pigs against Herpes simplex virus type 2. Penn reported that the immunization led to “mostly sterilizing immunity” from the virus.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Next Steps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to initiate our first Phase 1 clinical trial under this collaboration in the first half of 2021.</w:t>
      </w:r>
    </w:p>
    <w:p>
      <w:pPr>
        <w:spacing w:after="0" w:line="370" w:lineRule="exact"/>
        <w:rPr>
          <w:sz w:val="20"/>
          <w:szCs w:val="20"/>
          <w:color w:val="auto"/>
        </w:rPr>
      </w:pPr>
    </w:p>
    <w:p>
      <w:pPr>
        <w:ind w:left="1180" w:hanging="544"/>
        <w:spacing w:after="0"/>
        <w:tabs>
          <w:tab w:leader="none" w:pos="11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Our Rare Disease Protein Replacement mRNA Product Candidates</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are collaborating with Genevant, in order to combine our mRNA technology with Genevant’s LNP delivery technology, to create up to five mRNA protein replacement therapies for the treatment of rare diseases with high unmet medical needs. We expect our first compound from this collaboration to enter the clinic by the second half of 2020.</w:t>
      </w:r>
    </w:p>
    <w:p>
      <w:pPr>
        <w:spacing w:after="0" w:line="326" w:lineRule="exact"/>
        <w:rPr>
          <w:sz w:val="20"/>
          <w:szCs w:val="20"/>
          <w:color w:val="auto"/>
        </w:rPr>
      </w:pPr>
    </w:p>
    <w:p>
      <w:pPr>
        <w:ind w:left="1180" w:hanging="544"/>
        <w:spacing w:after="0"/>
        <w:tabs>
          <w:tab w:leader="none" w:pos="118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 xml:space="preserve">Our legacy commercial stage product, MammaTyper, is a molecular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for the quantitative detection of the mRNA expression of ERBB2, ESR1, PGR and MKI67 in breast cancer tissue. MammaTyper has been shown in a variety of scientific publications to offer superior diagnostics insights compared to conventional immunohistochemical detection methods.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240" w:top="460"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XIII. Manufacturing</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are building a fully integrated biotechnology company, with operations spanning from research through clinical development, and manufacturing through sales and marketing. We operate three GMP-certified manufacturing facilities in Germany, where we manufacture mRNA therapeutics and engineered cell therapies for our own pipeline and for external customers. We operate a fourth facility in Germany where we manufacture custom peptides to support our extensive immunomonitoring activities within our development programs. Our subsidiary BioNTech Innovative Manufacturing Services GmbH, or BioNTech IMFS, has been manufacturing GMP-certified cellular products since 1999. It was granted its first GMP license for manufacturing mRNA in 2011 and has been manufacturing individualized mRNA products since 2014.</w:t>
      </w:r>
    </w:p>
    <w:p>
      <w:pPr>
        <w:spacing w:after="0" w:line="17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have expanded our capability to produce and supply drug products to support clinical development of our, and our collaborators’, product candidates. To date, we have manufactured over 500 drug substance batches in our manufacturing facilities.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approach has been to proactively build capacity in anticipation of demand from internal research and development, as well as from our collaborators. We have done so by continuing to make significant investments in manufacturing infrastructure and increasingly expanding our capacity to manufacture mRNA, viral vectors, cellular products and peptides. We believe the development and optimization of our manufacturing processes in parallel to drug development is crucial to our success. We have also collaborated with Siemens to develop a process for a fully-automated, on-demand production of mRNA therapies.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Manufacturing Operations</w:t>
      </w:r>
    </w:p>
    <w:p>
      <w:pPr>
        <w:spacing w:after="0" w:line="11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 xml:space="preserve">mRNA. </w:t>
      </w:r>
      <w:r>
        <w:rPr>
          <w:rFonts w:ascii="Arial" w:cs="Arial" w:eastAsia="Arial" w:hAnsi="Arial"/>
          <w:sz w:val="16"/>
          <w:szCs w:val="16"/>
          <w:color w:val="auto"/>
        </w:rPr>
        <w:t>We believe scaling up manufacturing for mRNA can best be executed as part of a proprietary manufacturing approach, not as part of an</w:t>
      </w:r>
      <w:r>
        <w:rPr>
          <w:rFonts w:ascii="Arial" w:cs="Arial" w:eastAsia="Arial" w:hAnsi="Arial"/>
          <w:sz w:val="16"/>
          <w:szCs w:val="16"/>
          <w:i w:val="1"/>
          <w:iCs w:val="1"/>
          <w:color w:val="auto"/>
        </w:rPr>
        <w:t xml:space="preserve"> </w:t>
      </w:r>
      <w:r>
        <w:rPr>
          <w:rFonts w:ascii="Arial" w:cs="Arial" w:eastAsia="Arial" w:hAnsi="Arial"/>
          <w:sz w:val="16"/>
          <w:szCs w:val="16"/>
          <w:color w:val="auto"/>
        </w:rPr>
        <w:t>outsourcing strategy. We believe this approach allows us to maintain control of our proprietary processes and gives us the flexibility we need for scheduling batch production for our drug substances to match our development plans as they evolve. Our mRNA manufacturing is currently conducted at our in-house BioNTech IMFS facility and our BioNTech East Wing facility, the latter being dedicated to iNeST manufacturing. Our mRNA manufacturing process involves standardized production of all mRNA constructs and minimal restrictions in construct length. We have the capacity to undertake sterile filtration and final filling in up to 1,200 vials of various sizes. Batch sizes range from a few milligrams for individualized applications (</w:t>
      </w:r>
      <w:r>
        <w:rPr>
          <w:rFonts w:ascii="Arial" w:cs="Arial" w:eastAsia="Arial" w:hAnsi="Arial"/>
          <w:sz w:val="16"/>
          <w:szCs w:val="16"/>
          <w:i w:val="1"/>
          <w:iCs w:val="1"/>
          <w:color w:val="auto"/>
        </w:rPr>
        <w:t>i.e.</w:t>
      </w:r>
      <w:r>
        <w:rPr>
          <w:rFonts w:ascii="Arial" w:cs="Arial" w:eastAsia="Arial" w:hAnsi="Arial"/>
          <w:sz w:val="16"/>
          <w:szCs w:val="16"/>
          <w:color w:val="auto"/>
        </w:rPr>
        <w:t>, iNeST) to 3g for standard mRNA applications (</w:t>
      </w:r>
      <w:r>
        <w:rPr>
          <w:rFonts w:ascii="Arial" w:cs="Arial" w:eastAsia="Arial" w:hAnsi="Arial"/>
          <w:sz w:val="16"/>
          <w:szCs w:val="16"/>
          <w:i w:val="1"/>
          <w:iCs w:val="1"/>
          <w:color w:val="auto"/>
        </w:rPr>
        <w:t>i.e.</w:t>
      </w:r>
      <w:r>
        <w:rPr>
          <w:rFonts w:ascii="Arial" w:cs="Arial" w:eastAsia="Arial" w:hAnsi="Arial"/>
          <w:sz w:val="16"/>
          <w:szCs w:val="16"/>
          <w:color w:val="auto"/>
        </w:rPr>
        <w:t>, FixVac and intratumoral immunotherapies), with batch sizes of up to 10g currently possible.</w:t>
      </w:r>
    </w:p>
    <w:p>
      <w:pPr>
        <w:spacing w:after="0" w:line="16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To date, we have produced more than 500 batches of mRNA drug substance to support our studies. We currently have infrastructure capable of producing more than 100 batches of mRNA drug substance and formulated drug product per month with a turnaround time of about 30 to 40 days from sequence identification to released product. We believe we currently have the capacity to supply needs of our product candidates in clinical trials up to registration.</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recent years, we have successfully decreased the time required to deliver individualized immunotherapy to patients. In 2014, it took us over three months to manually manufacture and deliver individualized immunotherapies to patients. Since December 2017, with the implementation of semiautomatic GMP manufacturing in collaboration with Siemens, we have been consistently manufacturing and delivering individualized immunotherapies in under six weeks. This advancement represents significant progress toward our target commercial manufacturing turnaround time of less than 28 days. We believe this is achievable, and we plan to continue to develop additional process improvements, which we expect will further reduce our turnaround times as we progress through clinical development.</w:t>
      </w:r>
    </w:p>
    <w:p>
      <w:pPr>
        <w:spacing w:after="0" w:line="193"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i w:val="1"/>
          <w:iCs w:val="1"/>
          <w:color w:val="auto"/>
        </w:rPr>
        <w:t xml:space="preserve">Cell Therapy Products. </w:t>
      </w:r>
      <w:r>
        <w:rPr>
          <w:rFonts w:ascii="Arial" w:cs="Arial" w:eastAsia="Arial" w:hAnsi="Arial"/>
          <w:sz w:val="18"/>
          <w:szCs w:val="18"/>
          <w:color w:val="auto"/>
        </w:rPr>
        <w:t>We have end-to-end capabilities and over 20 years of experience in cell therapy manufacturing. Our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for cellular products involves the isolation of primary human cells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240" w:top="459" w:right="5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color w:val="auto"/>
        </w:rPr>
        <w:t>and subpopulations, including CD34</w:t>
      </w:r>
      <w:r>
        <w:rPr>
          <w:rFonts w:ascii="Arial" w:cs="Arial" w:eastAsia="Arial" w:hAnsi="Arial"/>
          <w:sz w:val="14"/>
          <w:szCs w:val="14"/>
          <w:color w:val="auto"/>
        </w:rPr>
        <w:t>+</w:t>
      </w:r>
      <w:r>
        <w:rPr>
          <w:rFonts w:ascii="Arial" w:cs="Arial" w:eastAsia="Arial" w:hAnsi="Arial"/>
          <w:sz w:val="17"/>
          <w:szCs w:val="17"/>
          <w:color w:val="auto"/>
        </w:rPr>
        <w:t xml:space="preserve"> and CD3</w:t>
      </w:r>
      <w:r>
        <w:rPr>
          <w:rFonts w:ascii="Arial" w:cs="Arial" w:eastAsia="Arial" w:hAnsi="Arial"/>
          <w:sz w:val="14"/>
          <w:szCs w:val="14"/>
          <w:color w:val="auto"/>
        </w:rPr>
        <w:t>+</w:t>
      </w:r>
      <w:r>
        <w:rPr>
          <w:rFonts w:ascii="Arial" w:cs="Arial" w:eastAsia="Arial" w:hAnsi="Arial"/>
          <w:sz w:val="17"/>
          <w:szCs w:val="17"/>
          <w:color w:val="auto"/>
        </w:rPr>
        <w:t xml:space="preserve"> cells. We engage in the culturing, expansion and genetic modification of primary human cells as well as mammalian cell lines. Our processes include vector production for transfection of cells with CARs, cell banking and cryopreservation.</w:t>
      </w:r>
    </w:p>
    <w:p>
      <w:pPr>
        <w:spacing w:after="0" w:line="14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have set up a broad range of quality control assays for the characterization of cell therapy products that allow us to certify the manufactured drug products in a short time. We are a leader in the production of gamma retroviral vectors. To date, we have produced more than 50 different cell therapy products.</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Peptides. </w:t>
      </w:r>
      <w:r>
        <w:rPr>
          <w:rFonts w:ascii="Arial" w:cs="Arial" w:eastAsia="Arial" w:hAnsi="Arial"/>
          <w:sz w:val="17"/>
          <w:szCs w:val="17"/>
          <w:color w:val="auto"/>
        </w:rPr>
        <w:t>Our custom peptide synthesis business has developed unique technologies to produce several million peptides during the past three years</w:t>
      </w:r>
      <w:r>
        <w:rPr>
          <w:rFonts w:ascii="Arial" w:cs="Arial" w:eastAsia="Arial" w:hAnsi="Arial"/>
          <w:sz w:val="17"/>
          <w:szCs w:val="17"/>
          <w:i w:val="1"/>
          <w:iCs w:val="1"/>
          <w:color w:val="auto"/>
        </w:rPr>
        <w:t xml:space="preserve"> </w:t>
      </w:r>
      <w:r>
        <w:rPr>
          <w:rFonts w:ascii="Arial" w:cs="Arial" w:eastAsia="Arial" w:hAnsi="Arial"/>
          <w:sz w:val="17"/>
          <w:szCs w:val="17"/>
          <w:color w:val="auto"/>
        </w:rPr>
        <w:t>to support our growing clinical pipeline. These include fast small-scale manufacturing of peptides for target and epitope discovery as well as for neoepitope characterization and production of high content arrays. It is important to synthesize highly purified peptides in order to avoid false positives in immunomonitoring in our mRNA immunotherapy trials. We also use these peptides as starting material in our engineered cell therapies. We have developed know-how to produce highly complex and purified peptide pools that consist of overlapping peptides spanning entire antigens or neoepitopes. We plan to establish a new production facility, which will roughly double our current capacity.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Manufacturing Facilities</w:t>
      </w:r>
    </w:p>
    <w:p>
      <w:pPr>
        <w:spacing w:after="0" w:line="11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We operate four manufacturing and packaging facilities in Germany. In these facilities, we manufacture and package individualized mRNA, bulk mRNA, retroviral vectors, cellular products and peptides. In Mainz, we are currently constructing another facility for iNeST manufacturing at a commercial scale, which is planned to start manufacturing in 2022 and will supply markets mainly in Europe and the United States.</w:t>
      </w:r>
    </w:p>
    <w:p>
      <w:pPr>
        <w:spacing w:after="0" w:line="166"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i w:val="1"/>
          <w:iCs w:val="1"/>
          <w:color w:val="auto"/>
        </w:rPr>
        <w:t>BioNTech IMFS</w:t>
      </w:r>
      <w:r>
        <w:rPr>
          <w:rFonts w:ascii="Arial" w:cs="Arial" w:eastAsia="Arial" w:hAnsi="Arial"/>
          <w:sz w:val="18"/>
          <w:szCs w:val="18"/>
          <w:color w:val="auto"/>
        </w:rPr>
        <w:t>. Our manufacturing operations for retroviral vectors, cell therapy products and mRNA are housed in our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BioNTech IMFS. Founded in 1997, BioNTech IMFS specializes in services for innovative therapeutic approaches. In 2009, BioNTech IMFS became our wholly-owned subsidiary, giving us access to synergistic platforms and complementary expertise for development, testing and manufacturing services. BioNTech IMFS and its predecessors have had GMP-certified cell and gene therapy manufacturing capabilities since 1999, and obtained GMP manufacturing authorization for mRNA production in 2011. In 2017, BioNTech IMFS began automated manufacturing of the iNeST product candidate and entered into its first commercial supply contract for retroviral vectors. Located near Mainz, the BioNTech IMFS facility occupies over 30,000 square feet. Two hundred and twenty staff members are employed at this facility, with collective expertise in molecular biology, cell biology and virology.</w:t>
      </w:r>
    </w:p>
    <w:p>
      <w:pPr>
        <w:spacing w:after="0" w:line="19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BioNTech iNeST Clinical Manufacturing (East Wing)</w:t>
      </w:r>
      <w:r>
        <w:rPr>
          <w:rFonts w:ascii="Arial" w:cs="Arial" w:eastAsia="Arial" w:hAnsi="Arial"/>
          <w:sz w:val="18"/>
          <w:szCs w:val="18"/>
          <w:color w:val="auto"/>
        </w:rPr>
        <w:t>. We dedicate our GMP-certified manufacturing facility at our headquarters in Mainz,</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to the production of iNeST immunotherapies. In 2015, our wholly-owned subsidiary, BioNTech RNA Pharmaceuticals GmbH, or BioNTech RNA, and Siemens announced a collaboration for developing an automated, paperless and digitalized production site for individualized mRNA. We obtained our GMP manufacturing authorization for iNeST production at our East Wing facility in June 2018 and released our first drug product there the following month.</w:t>
      </w:r>
    </w:p>
    <w:p>
      <w:pPr>
        <w:spacing w:after="0" w:line="18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This facility contains approximately 17,000 square feet of laboratory and office space, including 4,300 square feet of GMP facilities. About 200 staff members are employed at this facility and operate it seven days per week. In its first year of operation the facility manufactured and released more than 250 batches of mRNA.</w:t>
      </w:r>
    </w:p>
    <w:p>
      <w:pPr>
        <w:spacing w:after="0" w:line="18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i w:val="1"/>
          <w:iCs w:val="1"/>
          <w:color w:val="auto"/>
        </w:rPr>
        <w:t>BioNTech Clinical Manufacturing</w:t>
      </w:r>
      <w:r>
        <w:rPr>
          <w:rFonts w:ascii="Arial" w:cs="Arial" w:eastAsia="Arial" w:hAnsi="Arial"/>
          <w:sz w:val="18"/>
          <w:szCs w:val="18"/>
          <w:color w:val="auto"/>
        </w:rPr>
        <w:t>. Our GMP-certified manufacturing facility in Kupferbergterrasse, Mainz, Germany is authorized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packing, labeling, storage and batch release of primary packed investigational medicinal products. This facility contains approximately 11,500 square feet of laboratory and office space, including 1,250 square feet of GMP facilities.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i w:val="1"/>
          <w:iCs w:val="1"/>
          <w:color w:val="auto"/>
        </w:rPr>
        <w:t>JPT</w:t>
      </w:r>
      <w:r>
        <w:rPr>
          <w:rFonts w:ascii="Arial" w:cs="Arial" w:eastAsia="Arial" w:hAnsi="Arial"/>
          <w:sz w:val="18"/>
          <w:szCs w:val="18"/>
          <w:color w:val="auto"/>
        </w:rPr>
        <w:t>. JPT, our peptide manufacturing facility, was established in 2004 and became a wholly-owned subsidiary of BioNTech in 2008. JPT is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Berlin, Germany and occupies over 16,000 square feet of clean rooms, laboratory and office space.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Certifications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BioNTech Diagnostics has a quality management system that is certified according to ISO 13485:2016 and JPT maintains a ISO 9001:2015 certified Quality Management System to allow production of European CE marked companion diagnostics.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We have implemented and maintain several Quality Assurance systems. BioNTech IMFS, BioNTech Clinical Manufacturing and BioNTech iNeST Clinical Manufacturing have implemented GMP-certified quality assurance systems. BioNTech Diagnostics has a quality management system that is certified according to ISO 13485:2016 and JPT maintains a ISO 9001:2015 certified Quality Management System.</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Manufacturing Outlook</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committed to the continued development of world-class manufacturing operations to support our clinical manufacturing needs, to prepare for commercial scale manufacturing of our product candidates, and to realize external commercial opportunities. We expect to commit approximately an additional €250 million through 2023. Our planned manufacturing investments include:</w:t>
      </w:r>
    </w:p>
    <w:p>
      <w:pPr>
        <w:spacing w:after="0" w:line="87" w:lineRule="exact"/>
        <w:rPr>
          <w:sz w:val="20"/>
          <w:szCs w:val="20"/>
          <w:color w:val="auto"/>
        </w:rPr>
      </w:pPr>
    </w:p>
    <w:p>
      <w:pPr>
        <w:ind w:left="640" w:right="380" w:hanging="328"/>
        <w:spacing w:after="0" w:line="277" w:lineRule="auto"/>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two new buildings at our BioNTech IMFS facility, including three floors each of clean rooms and additional development and quality control laboratories;</w:t>
      </w:r>
    </w:p>
    <w:p>
      <w:pPr>
        <w:spacing w:after="0" w:line="75" w:lineRule="exact"/>
        <w:rPr>
          <w:rFonts w:ascii="Arial" w:cs="Arial" w:eastAsia="Arial" w:hAnsi="Arial"/>
          <w:sz w:val="18"/>
          <w:szCs w:val="18"/>
          <w:color w:val="auto"/>
        </w:rPr>
      </w:pPr>
    </w:p>
    <w:p>
      <w:pPr>
        <w:ind w:left="640" w:right="280" w:hanging="328"/>
        <w:spacing w:after="0" w:line="277" w:lineRule="auto"/>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our planned commercial scale facility in Mainz, which will occupy more than 100,000 square feet and will house cleanrooms, laboratories and offices; and</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 expansion of our JPT facility, which is designed to more than double our capacity.</w:t>
      </w:r>
    </w:p>
    <w:p>
      <w:pPr>
        <w:spacing w:after="0" w:line="370"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b w:val="1"/>
          <w:bCs w:val="1"/>
          <w:color w:val="auto"/>
        </w:rPr>
        <w:t>XIV.</w:t>
      </w:r>
      <w:r>
        <w:rPr>
          <w:sz w:val="20"/>
          <w:szCs w:val="20"/>
          <w:color w:val="auto"/>
        </w:rPr>
        <w:tab/>
      </w:r>
      <w:r>
        <w:rPr>
          <w:rFonts w:ascii="Arial" w:cs="Arial" w:eastAsia="Arial" w:hAnsi="Arial"/>
          <w:sz w:val="16"/>
          <w:szCs w:val="16"/>
          <w:b w:val="1"/>
          <w:bCs w:val="1"/>
          <w:color w:val="auto"/>
        </w:rPr>
        <w:t>Third-Party Collaborations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forged productive collaborations with pharmaceutical companies and academic research institutions with area expertise and resources in an effort to advance and accelerate our discovery and development programs in oncology, and also to leverage our drug classes into additional disease indications while minimizing our incremental costs.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collaborations include:</w:t>
      </w:r>
    </w:p>
    <w:p>
      <w:pPr>
        <w:spacing w:after="0" w:line="131" w:lineRule="exact"/>
        <w:rPr>
          <w:sz w:val="20"/>
          <w:szCs w:val="20"/>
          <w:color w:val="auto"/>
        </w:rPr>
      </w:pPr>
    </w:p>
    <w:p>
      <w:pPr>
        <w:ind w:left="640" w:hanging="328"/>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Genentech for our iNeST platform in our mRNA drug class;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Sanofi for our intratumoral therapy platform in our mRNA drug class;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Genmab for our next-generation checkpoint immunomodulator platform in our antibodies drug class;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Pfizer for our influenza vaccine program, which leverages technology from our infectious disease mRNA-based platform;</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Penn for up to 10 prophylactic indications in our infectious disease mRNA-based platform; and</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Genevant for our rare disease protein replacement therapy platform in our mRNA drug class.</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either wholly own or retain significant rights to all of our clinical stage programs, either in the form of a global share of profit and co-commercialization rights with our collaborators in certain markets or significant royalties and milestones. We plan to continue to identify potential collaborators who can contribute meaningful resources and insights to our programs and allow us to more rapidly expand our impact to broader patient populations.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80"/>
          </w:cols>
          <w:pgMar w:left="240" w:top="460"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Genentech—iNeST Collaboration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Collaboration Agreement</w:t>
      </w:r>
    </w:p>
    <w:p>
      <w:pPr>
        <w:spacing w:after="0" w:line="117" w:lineRule="exact"/>
        <w:rPr>
          <w:sz w:val="20"/>
          <w:szCs w:val="20"/>
          <w:color w:val="auto"/>
        </w:rPr>
      </w:pPr>
    </w:p>
    <w:p>
      <w:pPr>
        <w:jc w:val="both"/>
        <w:ind w:left="200" w:right="200" w:firstLine="441"/>
        <w:spacing w:after="0" w:line="288" w:lineRule="auto"/>
        <w:rPr>
          <w:sz w:val="20"/>
          <w:szCs w:val="20"/>
          <w:color w:val="auto"/>
        </w:rPr>
      </w:pPr>
      <w:r>
        <w:rPr>
          <w:rFonts w:ascii="Arial" w:cs="Arial" w:eastAsia="Arial" w:hAnsi="Arial"/>
          <w:sz w:val="16"/>
          <w:szCs w:val="16"/>
          <w:color w:val="auto"/>
        </w:rPr>
        <w:t>On September 20, 2016, we and BioNTech RNA entered into a Collaboration Agreement with Genentech and F. Hoffman-La Roche Ltd, which we refer to as the Genentech Collaboration Agreement, to jointly research, develop, manufacture and commercialize certain pharmaceutical products that comprise neoepitope RNAs, or the Genentech Collaboration Products, which include our iNeST development candidates, for any use worldwide.</w:t>
      </w:r>
    </w:p>
    <w:p>
      <w:pPr>
        <w:jc w:val="both"/>
        <w:ind w:left="200" w:right="20"/>
        <w:spacing w:after="0" w:line="277" w:lineRule="auto"/>
        <w:rPr>
          <w:sz w:val="20"/>
          <w:szCs w:val="20"/>
          <w:color w:val="auto"/>
        </w:rPr>
      </w:pPr>
      <w:r>
        <w:rPr>
          <w:rFonts w:ascii="Arial" w:cs="Arial" w:eastAsia="Arial" w:hAnsi="Arial"/>
          <w:sz w:val="17"/>
          <w:szCs w:val="17"/>
          <w:color w:val="auto"/>
        </w:rPr>
        <w:t>Under the Genentech Collaboration Agreement, we and Genentech have agreed to perform joint research, with each party bearing its own costs, under a research plan to further improve our technology platform for the manufacturing of Genentech Collaboration Products. Under the terms of the Genentech Collaboration Agreement, Genentech paid us $310 million in upfront and near-term milestone payments.</w:t>
      </w:r>
    </w:p>
    <w:p>
      <w:pPr>
        <w:spacing w:after="0" w:line="17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and Genentech must use commercially reasonable efforts to jointly develop one or more Genentech Collaboration Products in accordance with an agreed global development plan, with the costs of such development to be shared equally. We will continue certain clinical studies that were initiated prior to the execution of the Collaboration Agreement at our sole expense, and any future material changes in the operation of such clinical studies require Genentech’s approval. Genentech may access and use any data generated in these ongoing clinical studies.</w:t>
      </w:r>
    </w:p>
    <w:p>
      <w:pPr>
        <w:spacing w:after="0" w:line="154"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addition to the clinical studies included in the global development plan, we may propose certain additional clinical studies for indications not included in the global development plan, and if the joint development committee formed by the parties does not elect to include the proposed studies in the global development plan, then we may conduct the study at our sole expense under certain conditions, and subject to certain restrictions. Genentech has the option to select any candidate in such studies for potential further joint development and/or commercialization by Genentech as a Genentech Collaboration Product. In the case that Genentech wishes to pursue the clinical development of a Genentech Collaboration Product in an indication that we are not interested in pursuing, then under certain conditions, we may opt out of the co-funding of such development and Genentech may continue do so at its own costs, except that we are obligated to repay Genentech’s development costs in the event that such product subsequently receives regulatory approval.</w:t>
      </w:r>
    </w:p>
    <w:p>
      <w:pPr>
        <w:spacing w:after="0" w:line="19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Genentech has the sole right to commercialize the Genentech Collaboration Products on a worldwide basis, with all profits and losses from such commercialization to be split equally with us. If we exercise our right to opt out of sharing equally in future development costs for any Genentech Collaboration Products, then we will no longer split all such profits and losses for such Genentech Collaboration Products equally with Genentech and will instead receive a royalty on annual worldwide net sales of such Genentech Collaboration Products that are covered by a valid claim included in certain of our patents and certain joint patents that arise out of the collaboration. Furthermore, for certain Genentech Collaboration Products for which we share co-promotion rights with Genentech, we have the option to assume a percentage to be determined of the total sales force in the United States and certain other countries, including Germany and other major European markets. In addition, under certain regulatory and other circumstances, we have the right to independently commercialize Genentech Collaboration Products in indications that the joint development committee declines to pursue and that Genentech does not subsequently elect to commercialize, provided that we market such Genentech Collaboration Products under a separate brand and trademark that is approved by the joint commercialization committee established by the parties as not confusingly similar to the Genentech Collaboration Products being commercialized by Genentech. Our ability to research, develop, co-promote and/or independently commercialize Genentech Collaboration Products may be terminated or limited in the event we undergo a change of control.</w:t>
      </w:r>
    </w:p>
    <w:p>
      <w:pPr>
        <w:spacing w:after="0" w:line="16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granted to Genentech an exclusive license under certain of our intellectual property, and our interest in any jointly-owned intellectual property developed under this agreement, to research, develop, make, sell and import any pharmaceutical products that comprise neoepitope RNA. Genentech granted to us an exclusive, non-transferable, sublicensable licenses under certain Genentech intellectual property, our intellectual property exclusively licensed to Genentech, and their interest in any jointly-owned intellectual property developed under</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this agreement for the performance of our ongoing clinical studies and the exercise of our rights and obligations under the Genentech Collaboration Agreement.</w:t>
      </w:r>
    </w:p>
    <w:p>
      <w:pPr>
        <w:spacing w:after="0" w:line="170"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Until September 20, 2019, we and Genentech are subject to certain exclusivity obligations under the Genentech Collaboration Agreement. In addition, until the first marketing approval for a Genentech Collaboration Product, we have granted Genentech the first right to negotiate an exclusive license to develop, manufacture and commercialize combination therapies involving pharmaceutical products based on neoepitope RNA and pharmaceutical products based on non-neoepitope RNA for the treatment of cancer in humans.</w:t>
      </w:r>
    </w:p>
    <w:p>
      <w:pPr>
        <w:spacing w:after="0" w:line="17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Genentech Collaboration Agreement will remain in effect so as long as Genentech Collaboration Products are in development or commercialization, or until the date of the expiration of the last royalty term if BioNTech has exercised its option to opt-out of joint development of Genentech Collaboration Products. If the agreement expires, the licenses granted to Genentech become fully-paid up, royalty-free and irrevocable. Genentech may terminate the Collaboration Agreement if we fail to achieve certain milestone targets or at any time for convenience with or without reason upon 60 days’ prior written notice. In the event of any such termination, all rights to the development and commercialization of Genentech Collaboration Products developed under the collaboration would revert to us and Genentech would grant us licenses under its intellectual property to further develop and commercialize Genentech Collaboration Products. We would be required to pay certain royalties to Genentech for such license(s). In addition, either party may terminate the agreement upon the other party’s uncured material breach or insolvency.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Manufacturing Development and Supply Agreement</w:t>
      </w:r>
    </w:p>
    <w:p>
      <w:pPr>
        <w:spacing w:after="0" w:line="117"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Concurrent with the Genentech Collaboration Agreement, we and BioNTech RNA entered into a Manufacturing Development and Supply Agreement with Genentech and F. Hoffman-La Roche Ltd, or the Genentech Manufacturing Agreement, which governs the manufacturing, related manufacturing development activities and supply of Genentech Collaboration Products. Pursuant to the Genentech Manufacturing Agreement, we are responsible for clinical manufacturing and supply, for developing and implementing manufacturing processes (including pursuant to specified target turnaround times), and for constructing, commissioning, qualifying and obtaining permits for the clinical facilities. We are permitted to subcontract certain steps in the clinical manufacturing process to our affiliate, BioNTech IMFS.</w:t>
      </w:r>
    </w:p>
    <w:p>
      <w:pPr>
        <w:spacing w:after="0" w:line="17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addition, we are responsible for developing the commercial manufacturing process, which requires more stringent turnaround times than the clinical manufacturing process. Genentech will generally be responsible for commercial manufacturing. We are obligated to use commercially reasonable efforts to achieve certain predetermined clinical manufacturing capacity commitments.</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Under the Genentech Manufacturing Agreement, we and Genentech will jointly develop a manufacturing network plan detailing the location, capacity, scale-out, associated timing and other appropriate details of the commercial manufacturing facilities. We may participate in commercial manufacturing through our right to include as part of the commercial manufacturing network one of our own facilities in the European Union or the United States and one of our own facilities in another region to be agreed upon with Genentech (provided that in each region our facility is not the first facility to be included in the commercial manufacturing network).</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Sanofi—Intratumoral Therapy Collaboration</w:t>
      </w:r>
    </w:p>
    <w:p>
      <w:pPr>
        <w:spacing w:after="0" w:line="117" w:lineRule="exact"/>
        <w:rPr>
          <w:sz w:val="20"/>
          <w:szCs w:val="20"/>
          <w:color w:val="auto"/>
        </w:rPr>
      </w:pPr>
    </w:p>
    <w:p>
      <w:pPr>
        <w:jc w:val="both"/>
        <w:ind w:left="200" w:right="660" w:firstLine="441"/>
        <w:spacing w:after="0" w:line="264" w:lineRule="auto"/>
        <w:rPr>
          <w:sz w:val="20"/>
          <w:szCs w:val="20"/>
          <w:color w:val="auto"/>
        </w:rPr>
      </w:pPr>
      <w:r>
        <w:rPr>
          <w:rFonts w:ascii="Arial" w:cs="Arial" w:eastAsia="Arial" w:hAnsi="Arial"/>
          <w:sz w:val="18"/>
          <w:szCs w:val="18"/>
          <w:color w:val="auto"/>
        </w:rPr>
        <w:t>On November 2, 2015, BioNTech RNA entered into a Collaboration and License Agreement with Sanofi, which we refer to as the Sanofi Agreement. Pursuant to the Sanofi Agreement, we and Sanofi will collaborate on intratumorally administered mRNA-based therapeutics for the treatment of solid tumors in humans.</w:t>
      </w:r>
    </w:p>
    <w:p>
      <w:pPr>
        <w:spacing w:after="0" w:line="181" w:lineRule="exact"/>
        <w:rPr>
          <w:sz w:val="20"/>
          <w:szCs w:val="20"/>
          <w:color w:val="auto"/>
        </w:rPr>
      </w:pPr>
    </w:p>
    <w:p>
      <w:pPr>
        <w:ind w:left="200" w:right="1020" w:firstLine="441"/>
        <w:spacing w:after="0" w:line="277" w:lineRule="auto"/>
        <w:rPr>
          <w:sz w:val="20"/>
          <w:szCs w:val="20"/>
          <w:color w:val="auto"/>
        </w:rPr>
      </w:pPr>
      <w:r>
        <w:rPr>
          <w:rFonts w:ascii="Arial" w:cs="Arial" w:eastAsia="Arial" w:hAnsi="Arial"/>
          <w:sz w:val="18"/>
          <w:szCs w:val="18"/>
          <w:color w:val="auto"/>
        </w:rPr>
        <w:t>The Sanofi Agreement contemplates: (i) research, (ii) development and commercialization and (iii) possible co-development and co-commercialization activities with 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research phase, the parties seek to identify, characterize and validate up to five “mixtures” of two or more mRNAs encoding different proteins administered together in the same solution. Sanofi at its sole discretion may select up to five mixtures created under the research plan for further development and commercialization, which we refer to as Sanofi Collaboration Products.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After selection of a Sanofi Collaboration Product, Sanofi would be responsible for all development and commercialization activities involving that product. We have the option, by payment of an exercise fee, to co-develop and co-commercialize up to two Sanofi Collaboration Products primarily in the United States and in some European countries, including the United Kingdom, France, Germany, Italy and Spain. If we exercise such an option, the costs for co-development and co-commercialization of the chosen Sanofi Collaboration Products would be allocated between the parties. In turn, Sanofi has an option to co-develop and co-commercialize certain mixtures developed by us or with third parties that contain a certain amount of the mRNAs of a Sanofi Collaboration Product.</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March 2018, Sanofi selected the first Sanofi Collaboration Product for further development and commercialization and we exercised our option for co-development and co-commercialization of the Sanofi Collaboration Product. Effective as of March 2018, the parties entered into a separate development agreement for the co-development of this Sanofi Collaboration Product.</w:t>
      </w:r>
    </w:p>
    <w:p>
      <w:pPr>
        <w:spacing w:after="0" w:line="18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Under the Sanofi Agreement, Sanofi has paid upfront and near-term milestone payments of approximately €60 million. We are entitled to receive up to approximately €260 million per product upon achievement of certain development, regulatory and commercial milestones. If commercialized successfully, we would also be eligible for mid-single digit to very low double-digit tiered royalties on net sales on a country-by-country and product-by-product basis until the later of (i) expiration of the last relevant patent covering such product in such country, (ii) 10 years following first commercial sale of such product in such country, (iii) expiration of regulatory data exclusivity for such product in such country and (iv) the market entry of a generic biological product with a certain market share in relation to such product in such country.</w:t>
      </w:r>
    </w:p>
    <w:p>
      <w:pPr>
        <w:spacing w:after="0" w:line="178"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The Sanofi Agreement will remain effective until the last-to-expire royalty term (or, when a co-development option has been exercised, the completion of all co-development and co-commercialization activities). The parties may terminate the Sanofi Agreement in its entirety or terminate certain co-development activities for convenience, with or without cause.</w:t>
      </w:r>
    </w:p>
    <w:p>
      <w:pPr>
        <w:spacing w:after="0" w:line="18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Sanofi Agreement provides that we may not engage in certain research and development activities relating to the intratumoral injection of mRNAs.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Genmab—Next-generation Immunomodulator Collaboration</w:t>
      </w:r>
    </w:p>
    <w:p>
      <w:pPr>
        <w:spacing w:after="0" w:line="11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On May 19, 2015, we entered into a License and Collaboration Agreement with Genmab (together with all amendments and side letters thereto, collectively referred to as the Genmab Agreement) to jointly research, develop and commercialize polypeptide-based bispecific antibodies against certain target combinations for the treatment of cancer in humans worldwide, or the Genmab Agreement Field, using certain Genmab technology. In connection with our entry into the Genmab Agreement, Genmab paid us an upfront fee of $10 million.</w:t>
      </w:r>
    </w:p>
    <w:p>
      <w:pPr>
        <w:spacing w:after="0" w:line="17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Under the Genmab Agreement, we and Genmab must use commercially reasonable efforts to research and develop clinical candidates, including our next-generation checkpoint immunomodulators, with costs split equally during the research and evaluation phase. Our joint activities in this phase are governed by a research plan, which is subject to annual review and updates, and which specifies the clinical candidates to be developed. This research and evaluation phase is currently set to expire on May 31, 2021, but has in the past been extended.</w:t>
      </w:r>
    </w:p>
    <w:p>
      <w:pPr>
        <w:spacing w:after="0" w:line="17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During the research and evaluation phase, we and Genmab may propose clinical candidates for consideration by a joint research committee for further preclinical and clinical development. If a party, through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joint research committee, indicates that it is not interested in further development and commercialization of any clinical candidate, the other party may continue development and commercialization of such products on a unilateral basis, at its sole expense. The party that continues such development and commercialization is obligated to pay the other party certain development, regulatory and sales milestone payments and royalties on net sales of the applicable Unilateral Products. During either party’s development and commercialization of a Unilateral Product, the other party must not develop or commercialize any bispecific antibody targeting the same target combination of such Genmab Unilateral Product if such bispecific antibody was generated as part of the collaboration under this agreement.</w:t>
      </w:r>
    </w:p>
    <w:p>
      <w:pPr>
        <w:spacing w:after="0" w:line="17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and Genmab must use commercially reasonable efforts to develop candidates selected by the joint research committee, or the Genmab Collaboration Products, through preclinical and clinical development. In addition, the joint research committee may select an additional candidate, or the Genmab Back-up Candidate, as a back-up for each Genmab Collaboration Product and may decide at any time to replace the Genmab Collaboration Product with its Genmab Back-up Candidate. The preclinical and clinical development of the Genmab Collaboration Products would be performed pursuant to a development plan to be agreed upon by us and Genmab, with costs to be split equally. The joint steering committee may designate a third party as a manufacturer of a Genmab Collaboration Product or of any of its components.</w:t>
      </w:r>
    </w:p>
    <w:p>
      <w:pPr>
        <w:spacing w:after="0" w:line="178"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We and Genmab must use commercially reasonable efforts to jointly commercialize all Genmab Collaboration Products and share equally all expenses and profits arising from such commercialization. We and Genmab, on a product-by-product basis and at least 12 months prior to the anticipated start of a pivotal clinical trial for a Genmab Collaboration Product, will jointly designate between the two of us a lead party responsible for establishing the distribution and marketing operations in each geographical region. Each party would be entitled to equally co-promote the products pursuant to a separately negotiated global commercialization agreement that the parties agree to negotiate.</w:t>
      </w:r>
    </w:p>
    <w:p>
      <w:pPr>
        <w:spacing w:after="0" w:line="1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Unless otherwise agreed by the joint steering committee established under the agreement, Genmab is responsible for all regulatory actions and shall own all regulatory approvals obtained for the Genmab Collaboration Products. Genmab is obligated to provides regular updates to us on regulatory activities.</w:t>
      </w:r>
    </w:p>
    <w:p>
      <w:pPr>
        <w:spacing w:after="0" w:line="181"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Each party grants to the other party a worldwide, co-exclusive, sublicensable, royalty-free license under certain of such first party’s intellectual property, including certain patents and know-how, to perform the research under this agreement and to research, develop, make, import, use and sell Genmab Collaboration Products in the Genmab Agreement Field pursuant to the terms of the Genmab Agreement. These licenses shall continue on a country-by-country and product-by-product basis for as long as development or commercialization activities are contemplated under the Genmab Agreement.</w:t>
      </w:r>
    </w:p>
    <w:p>
      <w:pPr>
        <w:spacing w:after="0" w:line="188"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During the research and evaluation phase prior to the selection of a Genmab Collaboration Product, neither we nor Genmab may engage in any research and development activity in the Genmab Agreement Field relating to the development of any bispecific antibody which targets any combination that is the subject of our joint research plan. During the preclinical and clinical development phase for any Genmab Collaboration Product, engagement in research and development activities in the Genmab Agreement Field unilaterally by a party relating to a Genmab Collaboration Product or its Genmab Back-up Candidate or any bispecific antibody which targets the same target combination for which such Genmab Collaboration Product or Genmab Back-up Candidate has been developed would require the other party’s prior written consent.</w:t>
      </w:r>
    </w:p>
    <w:p>
      <w:pPr>
        <w:spacing w:after="0" w:line="178"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Each party has the right to discontinue its participation in the further development and commercialization of a Genmab Collaboration Product at two points: (i) when an IND submission package has been agreed upon by the parties and (ii) when the draft clinical trial report from the first Phase 1/2 clinical trial becomes available. The party that wishes to opt out of such further development and commercialization may choose to permit the other party to continue the development and commercialization of the Genmab Collaboration Product or divest its interest in such Genmab Collaboration Product. If the opt-out party permits continued development and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commercialization, the other party may elect to pursue development and commercialization of such Genmab Collaboration Product alone as a Unilateral Product, at its sole cost and subject to pre-defined milestone and royalty payments and certain additional pre-defined terms. If the other party wishes to not pursue such continued development and commercialization on such pre-defined payment and additional terms, then the parties will jointly divest their interest in such Genmab Collaboration Product to a third party, and if such divestiture fails, the parties will cease all development and commercialization of such Genmab Collaboration Product. Alternatively, if the opt-out party seeks to unilaterally divest its interest in the applicable Genmab Collaboration Product, the other party has the right of first exclusive negotiation to obtain exclusive, worldwide rights to develop and commercialize such Genmab Collaboration Product. If such unilateral divestiture fails after the other party’s exercise of its right of first exclusive negotiation, the opt-out party may either continue development and commercialization of such Genmab Collaboration Product or offer the other party to continue such development and commercialization on such pre-defined payment and additional terms as set forth above.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Genmab Agreement will remain in effect until the later of (i) the expiration of the last-to-expire royalty term for any Unilateral Product and</w:t>
      </w:r>
    </w:p>
    <w:p>
      <w:pPr>
        <w:spacing w:after="0" w:line="46" w:lineRule="exact"/>
        <w:rPr>
          <w:sz w:val="20"/>
          <w:szCs w:val="20"/>
          <w:color w:val="auto"/>
        </w:rPr>
      </w:pPr>
    </w:p>
    <w:p>
      <w:pPr>
        <w:ind w:left="200" w:right="380" w:firstLine="4"/>
        <w:spacing w:after="0" w:line="323" w:lineRule="auto"/>
        <w:tabs>
          <w:tab w:leader="none" w:pos="46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time when no Genmab Collaboration Products are being developed or commercialized under this agreement. Either party may terminate the agreement in its entirety or on a product-by-product basis with immediate effect upon the other party’s uncured material breach or insolvency.</w:t>
      </w:r>
    </w:p>
    <w:p>
      <w:pPr>
        <w:spacing w:after="0" w:line="2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 Lilly TCR Therapy Collaboration</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May 2015, BioNTech C&amp;GT entered into a drug discovery research, development and commercialization agreement with Eli Lilly regarding TCR-based therapeutics for the treatment of cancer. We refer to this agreement as the Lilly Agreement.</w:t>
      </w:r>
    </w:p>
    <w:p>
      <w:pPr>
        <w:spacing w:after="0" w:line="170"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Under the Lilly Agreement, BioNTech C&amp;GT is obligated to use commercially reasonable efforts to perform specified research and development activities relating to potential TCR targets. Additionally, BioNTech C&amp;GT is obligated to work exclusively with Eli Lilly in the field of non-small cell lung cancer outside of certain permitted personalized TCR and RNA therapy activities. In consideration of these activities, Eli Lilly is obligated to pay to BioNTech C&amp;GT an annual research and development fee. Additionally, Eli Lilly made an upfront payment of $30 million to BioNTech C&amp;GT in connection with entry into the Lilly Agreement and an additional $30 million equity investment in BioNTech C&amp;GT. In March 2019, we agreed to exchange Eli Lilly’s shares in BioNTech C&amp;GT for our (BioNTech SE’s) shares. Eli Lilly is obligated to pay up to an aggregate of approximately $300 million to BioNTech C&amp;GT upon the occurrence of certain development, regulatory and commercial milestones. Finally, upon commercialization of a product, Eli Lilly would be obligated to pay tiered royalties on net sales of the product ranging from the low single-digit to very low double-digit percentages. BioNTech C&amp;GT would be obligated to pay to Eli Lilly tiered royalties in the mid-single-digit percentages on net sales of certain products targeted at any new MHC peptide complexes, as well as up to an aggregate of $70 million upon the occurrence of commercial milestones.</w:t>
      </w:r>
    </w:p>
    <w:p>
      <w:pPr>
        <w:spacing w:after="0" w:line="169"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BioNTech C&amp;GT agreed to grant to Eli Lilly a worldwide, exclusive license to certain of its intellectual property necessary to exploit any selected targets and worldwide, non-exclusive licenses to BioNTech C&amp;GT’s background intellectual property and interest in collaboration intellectual property to exploit any selected targets, non-platform products, and small molecule and antibody products. Furthermore, BioNTech C&amp;GT granted to Eli Lilly a worldwide, non-exclusive, sublicensable, royalty-free license to its background intellectual property and interest in collaboration intellectual property to exploit companion diagnostics for platform products and diagnostics generally.</w:t>
      </w:r>
    </w:p>
    <w:p>
      <w:pPr>
        <w:spacing w:after="0" w:line="17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turn, Eli Lilly granted to BioNTech C&amp;GT a worldwide exclusive, sublicensable license under its interest in collaboration intellectual property to exploit personalized RNA therapies and TCR therapies and a worldwide, non-exclusive, sublicensable license under its interest in collaboration intellectual property to exploit diagnostics and companion diagnostics.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80"/>
          </w:cols>
          <w:pgMar w:left="240" w:top="460"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color w:val="auto"/>
        </w:rPr>
        <w:t>Eli Lilly has the sole right to select targets investigated during the research term for development and commercialization. Upon selection of a target Eli Lilly is obligated to use commercially reasonable efforts to develop and commercialize at least one product in the United States and in one other country from a specified list of major countries. On September 5, 2019, Eli Lilly selected its first target under the Agreement, resulting in a $2 million milestone payment to BioNTech.</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Lilly Agreement may be terminated in its entirety or in part by either party upon an uncured material breach or insolvency of the other party.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Eli Lilly may terminate the Lilly Agreement with or without reason by giving 30 days’ advance written notice to BioNTech C&amp;GT.</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Pfizer—Influenza Collaboration</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July 20, 2018, we and BioNTech RNA entered into a Research Collaboration and License Agreement with Pfizer, or the Pfizer Agreement, for the research, development and Pfizer’s commercialization of immunogenic compositions comprising modified RNA and/or replicon technology for prophylaxis against influenza in humans, which we refer to as the Pfizer Agreement Field.</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and Pfizer agreed to collaborate on the research in the Pfizer Agreement Field for an initial period of three years. The details of such research were set forth in a research plan that is governed by a joint steering committee, with Pfizer holding the final decision-making right. Each party will bear its own costs under the research plan. The research term will be extended automatically by a reasonable amount of time if the activities or deliverables under the research plan are delayed due to our material breach of our research obligations under the research plan. In addition, Pfizer may unilaterally extend the research term by up to a year by making an additional payment to us.</w:t>
      </w:r>
    </w:p>
    <w:p>
      <w:pPr>
        <w:spacing w:after="0" w:line="17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After the research term expires, Pfizer has the sole responsibility, authority and control of the development, manufacturing and commercialization of all candidates and products. Pfizer undertakes to use commercially reasonable efforts to seek regulatory approval for one product in the United States and in two countries out of France, Germany, Italy, Spain, the United Kingdom and Japan, and to commercialize such product in such countries where such product has received regulatory approval.</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the Pfizer Agreement, we grant to Pfizer an exclusive, worldwide, sublicensable license under certain of our intellectual property, including our patents and know-how, relating to replicons and modified RNA in the Pfizer Agreement Field as well as certain intellectual property in-licensed by us from third parties, to use, research, develop, manufacture, commercialize and otherwise exploit candidates and products selected under the Pfizer Agreement. We also grant to Pfizer a non-exclusive, royalty-free, sublicensable license under all intellectual property controlled by us or our affiliates to use, develop, manufacture, commercialize and otherwise exploit candidates and products selected under the Pfizer Agreement in the Pfizer Agreement Field. We undertake to maintain in full effect all intellectual property licenses held by us at the time we entered into the agreement and to not modify or amend any such license in a manner that would adversely affect any of the rights granted to Pfizer under the Pfizer Agreement. We are obligated to notify Pfizer of any breach of our current licenses and may be obligated to take steps to maintain Pfizer’s access to any intellectual property licensed under such licenses.</w:t>
      </w:r>
    </w:p>
    <w:p>
      <w:pPr>
        <w:spacing w:after="0" w:line="182"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For a limited period of time, we also granted Pfizer an exclusive right of first refusal and a right of first negotiation to acquire an exclusive worldwide license under certain intellectual property controlled by us for Pfizer to develop, manufacture and commercialize immunogenic products comprising RNA for prophylaxis against respiratory syncytial virus or human cytomegalovirus. The right of first refusal expired on July 20, 2019, at which time a right of first negotiation became effective. The right of first negotiation may be exercised until the end of the research term.</w:t>
      </w:r>
    </w:p>
    <w:p>
      <w:pPr>
        <w:spacing w:after="0" w:line="154"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In consideration of the rights granted to Pfizer under the agreement, Pfizer subscribed to shares in BioNTech AG under a separate investment agreement. In addition, under the Pfizer Agreement, Pfizer made an upfront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80"/>
          </w:cols>
          <w:pgMar w:left="240" w:top="460"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93" w:lineRule="auto"/>
        <w:rPr>
          <w:sz w:val="20"/>
          <w:szCs w:val="20"/>
          <w:color w:val="auto"/>
        </w:rPr>
      </w:pPr>
      <w:r>
        <w:rPr>
          <w:rFonts w:ascii="Arial" w:cs="Arial" w:eastAsia="Arial" w:hAnsi="Arial"/>
          <w:sz w:val="16"/>
          <w:szCs w:val="16"/>
          <w:color w:val="auto"/>
        </w:rPr>
        <w:t>payment of $50 million and agreed to potential payments of up to $325 million upon the achievement of specified development, regulatory and commercial milestones. Pfizer further agreed to a mid-single digit to very low double-digit tiered royalty on net sales if a product is commercialized. Royalties are subject to stacking provisions. The obligation of Pfizer to pay royalties ends, on a country-by-country and a product-by-product, basis upon the later of (i) the expiration of the last valid licensed patent right covering such product category in such country, (ii) 10 years after the first commercial sale of a product of such product category in such country and (iii) the lapse of regulatory data exclusivity for the first product in such product category in such country. There are only two product categories: one for modified RNA and a second for replicon products.</w:t>
      </w:r>
    </w:p>
    <w:p>
      <w:pPr>
        <w:spacing w:after="0" w:line="165" w:lineRule="exact"/>
        <w:rPr>
          <w:sz w:val="20"/>
          <w:szCs w:val="20"/>
          <w:color w:val="auto"/>
        </w:rPr>
      </w:pPr>
    </w:p>
    <w:p>
      <w:pPr>
        <w:ind w:left="200" w:right="720" w:firstLine="441"/>
        <w:spacing w:after="0" w:line="308" w:lineRule="auto"/>
        <w:rPr>
          <w:sz w:val="20"/>
          <w:szCs w:val="20"/>
          <w:color w:val="auto"/>
        </w:rPr>
      </w:pPr>
      <w:r>
        <w:rPr>
          <w:rFonts w:ascii="Arial" w:cs="Arial" w:eastAsia="Arial" w:hAnsi="Arial"/>
          <w:sz w:val="17"/>
          <w:szCs w:val="17"/>
          <w:color w:val="auto"/>
        </w:rPr>
        <w:t>During the term of the Pfizer Agreement, we have committed not to research, develop, manufacture, commercialize or otherwise exploit immunogenic compositions compromising RNA in the Pfizer Agreement Field other than pursuant to the Pfizer Agreement.</w:t>
      </w:r>
    </w:p>
    <w:p>
      <w:pPr>
        <w:spacing w:after="0" w:line="14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Pfizer Agreement ends on a country-by-country basis upon expiration of the last royalty term for any product in that country. Thereafter, the licenses granted to Pfizer with respect to such product in such country will convert into a perpetual, exclusive, fully paid-up and royalty-free license. In addition to termination rights granted to each party in the case of the other party’s uncured material breach, Pfizer may terminate the agreement, in whole or in part, for convenience and with or without reason at any time upon 60 days’ prior written notice. In addition, Pfizer is entitled to terminate the agreement and initiate a technology transfer of certain intellectual property if one of its key competitors acquires control over us.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Bill &amp; Melinda Gates Foundation—HIV and Tuberculosis Collaboration</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On August 30, 2019, we entered into a letter agreement and an investment agreement with the Bill &amp; Melinda Gates Foundation, or BMGF, pursuant to which BMGF acquired 3,038,674 of our ordinary shares for $55 million at the price of our Series B financing. The primary purpose of BMGF’s investment is to further its charitable purposes, and the investment will be utilized to advance the development of products for the prevention and/or treatment of HIV and tuberculosis, or TB. About one-third of the investment will be used to help fund our infrastructure build-out; this expansion of the company’s infectious disease capabilities is necessary to enable us to conduct BMGF projects.</w:t>
      </w:r>
    </w:p>
    <w:p>
      <w:pPr>
        <w:spacing w:after="0" w:line="17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addition to the HIV and TB projects, BMGF has the right to initiate up to three additional projects focused on infectious diseases (from a list of mutually agreed upon diseases) within the first five years of the partnership. BMGF may also continue to fund certain projects beyond initial funding agreements. These additional activities may be funded through grants from BMGF of up to $45 million. We must accept funding for the HIV and TB projects until the occurrence of defined event stamps and for the additional projects until the eighth anniversary of the closing of the investment. The event stamps involve the completion of Phase 1 safety and immunogenicity studies in healthy and/or infected individuals showing specific results.</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we elect not to proceed with any project following achievement of the event stamps, a new partner may further develop the project and manufacture any resulting products. Such partner will be identified through a series of defined steps and a technology transfer would take place. If a suitable manufacturing partner is not identified, we must manufacture the clinical and commercial supply of any product until a partner is identified. Such manufacturing may require us to increase our manufacturing capacities, which may be funded by BMGF. We retain the right to manufacture at any time.</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primary objective of BMGF is to provide funding to accelerate the development of lifesaving, low-cost drugs to reduce the burden of diseases in developing countries. This objective is known as global access commitments, or GAC. The projects in this partnership are separate and distinct from our current proprietary and partnered product candidates; all BMGF programs, however, will utilize our proprietary technology platforms. We retain rights for commercialization of products in the developed world. We can also independently develop any of the project results under new proprietary projects. The results which are funded under this partnership are always accessible by BMGF and are subject to GAC.</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80"/>
          </w:cols>
          <w:pgMar w:left="24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granted a non-exclusive, perpetual, royalty-free license (with limited rights to sub-license) to our platform technology that is specifically used in the defined projects for the purpose of benefiting people in developing countries. This license is known as the global health license and only becomes exercisable upon the occurrence of a charitability default (as detailed below) or if we become insolvent. BMGF has granted us a de-blocking license to ensure freedom to operate of our platform technology. We will negotiate in good faith to expand the geographic scope of the global health license to include developed countries if requested by the new partner.</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objective is to generate products that are affordable and accessible for the developing world. The final price, however, will not fall below our full costs of manufacturing the product.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required to publish, in accordance with certain “open access” terms and conditions, results and information developed under the projects.</w:t>
      </w:r>
    </w:p>
    <w:p>
      <w:pPr>
        <w:spacing w:after="0" w:line="24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BMGF has a right to withdraw from its investment in certain specified circumstances, including if we become insolvent or in the event of a charitability default, namely material breach of the GAC or breach of other specified requirements in the agreement. If we do not cure the charitability default within a specified period of time (if curable), we must repurchase all of the shares held by BMGF, to the extent consistent with applicable law, if we have sufficient free reserves and available liquidity, or we must locate a third-party purchaser of those shares. If we are not able to repurchase the shares or find a third-party purchaser, we must use our best efforts to effect BMGF’s withdrawal right as soon as practicable, which may mean acquiring the shares in tranches over time. To the extent permitted by law, we must compensate BMGF for any shortfall if the price achieved on a sale to a third party is lower than its initial investment. During the period before a charitiability default occurs, we can pay dividends on our shares, provided that our cash reserves exceed the price per share paid by BMGF times the number of shares BMGF holds (which is initially $55 million), and to the extent permitted by law, we must contribute annual profits of that amount to the cash reserves. After a charitability default has occurred and until the withdrawal right has been satisfied in full, we may only pay dividends in excess of the aggregate minimum purchase price if BMGF has not exercised any option to require us to repurchase any remaining shares held by them. For any purchase resulting from a charitability default, the aggregate minimum purchase price of BMGF’s shares will be valued at the greater of the original purchase price of the shares or the fair market value of such shares.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of the letter agreement continues in perpetuity.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Genevant—Rare Disease Protein Replacement Therapy Strategic Collaboration</w:t>
      </w:r>
    </w:p>
    <w:p>
      <w:pPr>
        <w:spacing w:after="0" w:line="11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In July 2018, our wholly-owned subsidiary BioNTech RNA Pharmaceuticals GmbH, or BioNTech RNA, entered into a license and co-development agreement with Genevant Sciences GmbH, or Genevant for the joint development of certain pharmaceutical products and the licensing of specified rights to Genevant’s lipid nanoparticle delivery technology to BioNTech RNA. We refer to this agreement as the Genevant Agreement.</w:t>
      </w:r>
    </w:p>
    <w:p>
      <w:pPr>
        <w:spacing w:after="0" w:line="14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Under the Genevant Agreement, BioNTech RNA and Genevant have agreed to collaborate to develop pharmaceutical products that contain any of five mRNA payloads created by BioNTech RNA encapsulated within a Genevant (or, if the parties agree, a third party) LNP, or the Co-Development Products, for the treatment, prevention and diagnosis of liver diseases, excluding any oncology diseases, or the Co-Development Field. Each party granted to the other party a worldwide, co-exclusive license or sublicense, with limited sublicensing rights, under certain of its patents and know-how to research, develop, make, have made, use, distribute, sell, offer for sale, have sold, import, export and otherwise commercialize the Co-Development Products in the Co-Development Field as provided in development and commercialization plans approved by a joint steering committee and subject to certain restrictions under the Genevant Agreement.</w:t>
      </w:r>
    </w:p>
    <w:p>
      <w:pPr>
        <w:spacing w:after="0" w:line="17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BioNTech RNA obtained an exclusive, worldwide, royalty-bearing license or sublicense under Genevant’s LNP delivery technology to research, develop, make, have made, use, distribute, sell, offer for sale,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80"/>
          </w:cols>
          <w:pgMar w:left="24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have sold, import, export and otherwise commercialize pharmaceutical products containing BioNTech mRNA payloads encapsulated within an LNP, or the BioNTech Products, for the treatment, prevention and diagnosis of illnesses in the field of oncology, or the BioNTech Field.</w:t>
      </w:r>
    </w:p>
    <w:p>
      <w:pPr>
        <w:spacing w:after="0" w:line="14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Each party retained certain rights to practice its intellectual property for all purposes outside of the Co-Development Field or in the Co-Development Field with any product that is not a Co-Development Product, subject to the next sentence as to BioNTech. During the term of the Genevant Agreement for each Co-Development Product or BioNTech Product, BioNTech RNA has agreed not to conduct or enable any clinical development, promotion or commercialization of any product involving the use of LNP with the BioNTech mRNA payload contained in the Co-Development Product or BioNTech Product other than in collaboration with Genevant pursuant to the Genevant Agreement. Genevant has also retained rights to practice its intellectual property for all purposes outside the BioNTech Field, or in the BioNTech Field with any product that is not a BioNTech Product.</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parties are jointly responsible for the development of, and must use commercially reasonable efforts to develop, the Co-Development Products in accordance with a development plan approved by a joint steering committee. Genevant is responsible for the preclinical, clinical and commercial manufacture of the Co-Development Products, and BioNTech RNA is obligated to supply the mRNA payloads for use in manufactured Co-Development Products. The parties share equally all costs for the development of Co-Development Products as well as any profits and losses. For each Co-Development Product, one or the other party will take the lead responsibility for commercialization of the Co-Development Product in the Co-Development Field. Each party must use commercially reasonable efforts to perform the commercialization activities allocated to it in a commercialization plan approved by a joint steering committee.</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Each party may opt-out of the co-development of any Co-Development Product with 90 days’ prior notice at any time after the filing of an IND or equivalent for the Co-Development Product. In such event, the other party may continue the development of the Co-Development Product on its own, at its sole cost and expense apart from specified obligations to support manufacturing and any ongoing clinical studies, but has to pay to the party that opted out pre-defined regulatory and sales milestones for the Co-Development Product of up to a low nine figure U.S. dollar amount in the aggregate and tiered low to mid-single digit percentage royalties on aggregate net sales of the Co-Development Product. In the event that a party opts out of the co-development of any Co-Development Product, the license granted by the party opting out to the other party shall become exclusive licenses, even as to the opting out party.</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BioNTech RNA is solely responsible for the development and commercialization of the BioNTech Products, including the performance of preclinical and clinical trials, all regulatory activities, and marketing and sales, and bears all related costs. BioNTech RNA must use commercially reasonable efforts to develop and obtain regulatory approval for BioNTech Products in the BioNTech Field in the United States, Germany, United Kingdom, France, Spain and Italy. Genevant is responsible for the manufacturing of the BioNTech Products, and the details of such manufacturing are to be agreed in a separate manufacturing and supply agreement. BioNTech RNA is obligated to pay regulatory and sales milestone payments on each BioNTech Product, and royalties based on aggregate net sales of all BioNTech Products, to Genevant.</w:t>
      </w:r>
    </w:p>
    <w:p>
      <w:pPr>
        <w:spacing w:after="0" w:line="178"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Genevant Agreement continues until later of (i) the expiration of the last-to-expire royalty term for any BioNTech Product worldwide and (ii) the date on which all Co-Development Products cease being developed or commercialized. BioNTech RNA may terminate the agreement for convenience with respect to one or more BioNTech Products at any time with 90 or 180 days’ prior notice, depending on whether regulatory approval has been granted. The Genevant Agreement grants each party termination rights: if the other party challenges the validity, enforceability or scope of any patents licensed to it under the Genevant Agreement; for uncured material breaches of the other party; for the other party’s insolvency; or if the other party undergoes a change of control through which it is controlled by a competitor, if specified by the parties at the time of the Genevant Agreement, before the earlier of July 4, 2021 or when the other party undergoes an initial public offering.</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Under certain scenarios, if BioNTech RNA terminates the Genevant Agreement with respect to a particular BioNTech Product, before granting a license to a third party for the BioNTech mRNA payload included in the BioNTech Product, Genevant has the right of negotiation with BioNTech. Under certain scenarios, if Genevant terminates the Genevant Agreement, Genevant keeps all licenses and have certain rights, but not the obligation, to continue the development and commercialization of Co-Development Products, and BioNTech RNA has certain obligations to provide assistance, documentation, and certain know-how and inventions to enable Genevant’s continued development and commercialization of Co-Development Products.</w:t>
      </w:r>
    </w:p>
    <w:p>
      <w:pPr>
        <w:spacing w:after="0" w:line="338"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b w:val="1"/>
          <w:bCs w:val="1"/>
          <w:color w:val="auto"/>
        </w:rPr>
        <w:t>XV.</w:t>
        <w:tab/>
        <w:t>Government Regulation</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Government authorities in the United States, at the federal, state and local levels, and in the European Union and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foreign countries and jurisdictions, along with subsequent compliance with applicable statutes and regulations and other requirements of regulatory authorities, require the expenditure of substantial time and financial resources.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 and Procedures Governing Approval of Drug and Biological Products in the United States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the United States, the FDA regulates drugs under the Federal Food, Drug, and Cosmetic Act, or the FDCA, and its implementing regulations and biologics under the FDCA, the Public Health Service Act, or the PHSA, and their implementing regulations. Both drugs and biologics also are subject to other federal, state and local statutes and regulations. The process of obtaining regulatory approvals and the subsequent compliance with applicable federal, state and local statutes and regulations requires the expenditure of substantial time and financial resources. Failure to comply with the applicable U.S. requirements at any time during the product development process, approval process or following approval may subject a sponsor to administrative or judicial sanctions. These sanctions could include, among other actions, the FDA’s refusal to approve pending applications, withdrawal of an approval, license revocation, clinical hold, untitled or warning letters, voluntary or mandatory product recalls,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6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sponsor seeking approval to market and distribute a new drug or biological product in the United States generally must satisfactorily complete each of the following steps:</w:t>
      </w:r>
    </w:p>
    <w:p>
      <w:pPr>
        <w:spacing w:after="0" w:line="76" w:lineRule="exact"/>
        <w:rPr>
          <w:sz w:val="20"/>
          <w:szCs w:val="20"/>
          <w:color w:val="auto"/>
        </w:rPr>
      </w:pPr>
    </w:p>
    <w:p>
      <w:pPr>
        <w:ind w:left="640" w:right="200" w:hanging="328"/>
        <w:spacing w:after="0" w:line="277" w:lineRule="auto"/>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applicable regulations, including the FDA’s good laboratory practices, or GLP, regulations;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submission to the FDA of an IND application for human clinical testing, which must become effective before human clinical trials may begin;</w:t>
      </w:r>
    </w:p>
    <w:p>
      <w:pPr>
        <w:spacing w:after="0" w:line="142" w:lineRule="exact"/>
        <w:rPr>
          <w:rFonts w:ascii="Arial" w:cs="Arial" w:eastAsia="Arial" w:hAnsi="Arial"/>
          <w:sz w:val="17"/>
          <w:szCs w:val="17"/>
          <w:color w:val="auto"/>
        </w:rPr>
      </w:pPr>
    </w:p>
    <w:p>
      <w:pPr>
        <w:ind w:left="640" w:hanging="328"/>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approval by the IRB representing each clinical site before each clinical trial may be initiated;</w:t>
      </w:r>
    </w:p>
    <w:p>
      <w:pPr>
        <w:spacing w:after="0" w:line="130" w:lineRule="exact"/>
        <w:rPr>
          <w:rFonts w:ascii="Arial" w:cs="Arial" w:eastAsia="Arial" w:hAnsi="Arial"/>
          <w:sz w:val="18"/>
          <w:szCs w:val="18"/>
          <w:color w:val="auto"/>
        </w:rPr>
      </w:pPr>
    </w:p>
    <w:p>
      <w:pPr>
        <w:ind w:left="640" w:right="360" w:hanging="328"/>
        <w:spacing w:after="0" w:line="277" w:lineRule="auto"/>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applicable regulations, including with GCP, regulations;</w:t>
      </w:r>
    </w:p>
    <w:p>
      <w:pPr>
        <w:spacing w:after="0" w:line="75" w:lineRule="exact"/>
        <w:rPr>
          <w:rFonts w:ascii="Arial" w:cs="Arial" w:eastAsia="Arial" w:hAnsi="Arial"/>
          <w:sz w:val="18"/>
          <w:szCs w:val="18"/>
          <w:color w:val="auto"/>
        </w:rPr>
      </w:pPr>
    </w:p>
    <w:p>
      <w:pPr>
        <w:ind w:left="640" w:right="120" w:hanging="328"/>
        <w:spacing w:after="0" w:line="286" w:lineRule="auto"/>
        <w:tabs>
          <w:tab w:leader="none" w:pos="6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preparation and submission to the FDA of a NDA for a drug product, or a BLA for a biological product requesting marketing approval for one or more proposed indications, including submission of detailed information on the manufacture and composition of the product in clinical development, evidence of safety, purity and potency from preclinical testing and clinical trials, and proposed labeling;</w:t>
      </w:r>
    </w:p>
    <w:p>
      <w:pPr>
        <w:spacing w:after="0" w:line="70" w:lineRule="exact"/>
        <w:rPr>
          <w:rFonts w:ascii="Arial" w:cs="Arial" w:eastAsia="Arial" w:hAnsi="Arial"/>
          <w:sz w:val="17"/>
          <w:szCs w:val="17"/>
          <w:color w:val="auto"/>
        </w:rPr>
      </w:pPr>
    </w:p>
    <w:p>
      <w:pPr>
        <w:ind w:left="640" w:hanging="328"/>
        <w:spacing w:after="0"/>
        <w:tabs>
          <w:tab w:leader="none" w:pos="6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if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240" w:top="460"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328"/>
        <w:spacing w:after="0" w:line="264" w:lineRule="auto"/>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current GMP requirements and to assure that the facilities, methods and controls are adequate to preserve the product’s identity, strength, quality and purity;</w:t>
      </w:r>
    </w:p>
    <w:p>
      <w:pPr>
        <w:spacing w:after="0" w:line="86" w:lineRule="exact"/>
        <w:rPr>
          <w:rFonts w:ascii="Arial" w:cs="Arial" w:eastAsia="Arial" w:hAnsi="Arial"/>
          <w:sz w:val="18"/>
          <w:szCs w:val="18"/>
          <w:color w:val="auto"/>
        </w:rPr>
      </w:pPr>
    </w:p>
    <w:p>
      <w:pPr>
        <w:ind w:left="640" w:right="140" w:hanging="328"/>
        <w:spacing w:after="0" w:line="277" w:lineRule="auto"/>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NDA or BLA;</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or BLA; and</w:t>
      </w:r>
    </w:p>
    <w:p>
      <w:pPr>
        <w:spacing w:after="0" w:line="130" w:lineRule="exact"/>
        <w:rPr>
          <w:rFonts w:ascii="Arial" w:cs="Arial" w:eastAsia="Arial" w:hAnsi="Arial"/>
          <w:sz w:val="18"/>
          <w:szCs w:val="18"/>
          <w:color w:val="auto"/>
        </w:rPr>
      </w:pPr>
    </w:p>
    <w:p>
      <w:pPr>
        <w:ind w:left="640" w:right="340" w:hanging="328"/>
        <w:spacing w:after="0" w:line="277" w:lineRule="auto"/>
        <w:tabs>
          <w:tab w:leader="none" w:pos="6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to conduct any post-approval studies required by the FDA.</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investigational medicines and any future investigational medicines will be granted on a timely basis, or at all.</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Before testing any drug or biological product candidate in humans, the product candidate must undergo preclinical testing. Preclinical tests include laboratory evaluations of product chemistry, formulation and stability, as well as animal studies to evaluate the potential for activity and toxicity. The conduct of the preclinical tests and formulation of the compounds for testing must comply with federal regulations and requirements. The results of the preclinical tests, together with manufacturing information, analytical data, any available clinical data or literature and a proposed clinical protocol, are submitted to the FDA as part of an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and places the trial on a clinical hold. In that case, the IND sponsor and the FDA must resolve any outstanding FDA concerns before the clinical trial can begin.</w:t>
      </w:r>
    </w:p>
    <w:p>
      <w:pPr>
        <w:spacing w:after="0" w:line="179" w:lineRule="exact"/>
        <w:rPr>
          <w:sz w:val="20"/>
          <w:szCs w:val="20"/>
          <w:color w:val="auto"/>
        </w:rPr>
      </w:pPr>
    </w:p>
    <w:p>
      <w:pPr>
        <w:jc w:val="both"/>
        <w:ind w:left="200" w:right="20" w:firstLine="441"/>
        <w:spacing w:after="0" w:line="273" w:lineRule="auto"/>
        <w:rPr>
          <w:sz w:val="20"/>
          <w:szCs w:val="20"/>
          <w:color w:val="auto"/>
        </w:rPr>
      </w:pPr>
      <w:r>
        <w:rPr>
          <w:rFonts w:ascii="Arial" w:cs="Arial" w:eastAsia="Arial" w:hAnsi="Arial"/>
          <w:sz w:val="17"/>
          <w:szCs w:val="17"/>
          <w:color w:val="auto"/>
        </w:rPr>
        <w:t>As a result, submission of the IND may result in the FDA not allowing the trial to commence or not be conducted on the terms originally specified by the sponsor in the IND. If the FDA raises concerns or questions either during this initial 30-day period, or at any time during the IND process, it may choose to impose a partial or complete clinical hold. If the FDA imposes a clinical hold, trials may not recommence without FDA authorization and then only under terms authorized by the FDA. A clinical hold issued by the FDA may therefore delay either a proposed clinical study or cause suspension of an ongoing study, until all outstanding concerns have been adequately addressed and the FDA has notified the company that investigation may proceed. This could cause significant difficulties in completing planned clinical trials in a timely manner.</w:t>
      </w:r>
    </w:p>
    <w:p>
      <w:pPr>
        <w:spacing w:after="0" w:line="178"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FDA may impose clinical holds on a biological product candidate at any time before or during clinical trials due to safety concerns or non-compliance.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Clinical Trials in Support of an NDA or a BLA</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dosing procedures and the effectiveness criteria to be evaluated. A protocol for each clinical trial and any subsequent protocol amendments must be submitted to the FDA as part of the IND.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NDA or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171"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human subjects.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subjects or patients are being exposed to an unacceptable health risk. Clinical testing also must satisfy extensive GCP rules and the requirements for informed consent. The IRB also approves the form and content of the informed consent that must be signed by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committee, or DSMB. This group may recommend continuation of the study as planned, changes in study conduct, or cessation of the study at designated check points based on access to certain data from the study.</w:t>
      </w:r>
    </w:p>
    <w:p>
      <w:pPr>
        <w:spacing w:after="0" w:line="19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76" w:lineRule="exact"/>
        <w:rPr>
          <w:sz w:val="20"/>
          <w:szCs w:val="20"/>
          <w:color w:val="auto"/>
        </w:rPr>
      </w:pPr>
    </w:p>
    <w:p>
      <w:pPr>
        <w:ind w:left="1180" w:right="100" w:hanging="436"/>
        <w:spacing w:after="0" w:line="259" w:lineRule="auto"/>
        <w:tabs>
          <w:tab w:leader="none" w:pos="11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Phase 1 clinical trials (or Phase 1)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especially when the product may be too inherently toxic to ethically administer to healthy volunteers.</w:t>
      </w:r>
    </w:p>
    <w:p>
      <w:pPr>
        <w:spacing w:after="0" w:line="92" w:lineRule="exact"/>
        <w:rPr>
          <w:rFonts w:ascii="Arial" w:cs="Arial" w:eastAsia="Arial" w:hAnsi="Arial"/>
          <w:sz w:val="18"/>
          <w:szCs w:val="18"/>
          <w:color w:val="auto"/>
        </w:rPr>
      </w:pPr>
    </w:p>
    <w:p>
      <w:pPr>
        <w:ind w:left="1180" w:right="20" w:hanging="436"/>
        <w:spacing w:after="0" w:line="273" w:lineRule="auto"/>
        <w:tabs>
          <w:tab w:leader="none" w:pos="11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Phase 2 clinical trials (or Phase 2)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 When a drug is intended to treat life-threatening or severely debilitating illnesses, the FDA may accept well-controlled Phase 2 clinical trials as adequate to provide sufficient data on the drug’s safety and effectiveness to support a decision on its approvability for marketing, in which case Phase 3 clinical trials would not be required.</w:t>
      </w:r>
    </w:p>
    <w:p>
      <w:pPr>
        <w:spacing w:after="0" w:line="83" w:lineRule="exact"/>
        <w:rPr>
          <w:rFonts w:ascii="Arial" w:cs="Arial" w:eastAsia="Arial" w:hAnsi="Arial"/>
          <w:sz w:val="17"/>
          <w:szCs w:val="17"/>
          <w:color w:val="auto"/>
        </w:rPr>
      </w:pPr>
    </w:p>
    <w:p>
      <w:pPr>
        <w:ind w:left="1180" w:hanging="436"/>
        <w:spacing w:after="0" w:line="279" w:lineRule="auto"/>
        <w:tabs>
          <w:tab w:leader="none" w:pos="11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Phase 3 clinical trials (or Phase 3) proceed if the Phase 2 clinical trials demonstrate that a certain dose or dose range of the product candidate is potentially effective and has an acceptable safety profile. Phase 3 clinical trials are undertaken within an expanded patient population, often at geographically dispersed clinical trial sites, to gather additional information about safety and effectiveness necessary to evaluate the overall benefit-risk relationship of the product and to provide an adequate basis for product labeling.</w:t>
      </w:r>
    </w:p>
    <w:p>
      <w:pPr>
        <w:spacing w:after="0" w:line="17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some cases, the FDA may approve an NDA or a BLA for a product candidate but require the sponsor to conduct additional clinical trials to further assess the product candidate’s safety and effectiveness after approval. Such post-approval trials are typically referred to as Phase 4 clinical trials (or Phase 4). These studies may be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to request a change in the product labeling. Failure to exhibit due diligence with regard to conducting required Phase 4 clinical trials could result in withdrawal of approval for products.</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DSMB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new drug candidate or biological product candidate has been associated with unexpected serious harm to patients.</w:t>
      </w:r>
    </w:p>
    <w:p>
      <w:pPr>
        <w:spacing w:after="0" w:line="183"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Compliance with GMP Requirements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Before approving an NDA or a BLA, the FDA typically will inspect the facility or facilities where the product is manufactured. The FDA will not approve an application unless it determines that the manufacturing processes and facilities are in full compliance with GMP requirements and adequate to assure consistent production of the product within required specifications.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does not undergo unacceptable deterioration over its shelf life. In particular, the PHSA emphasizes the importance of manufacturing control for products like biologics whose attributes cannot be precisely defined.</w:t>
      </w:r>
    </w:p>
    <w:p>
      <w:pPr>
        <w:spacing w:after="0" w:line="16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Manufacturers and others involved in the manufacture and distribution of drugs and biological products must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manufacturing facilities may be subject to periodic unannounced inspections by government authorities to ensure compliance with GMPs and other laws. Manufacturers may have to provide, on request, electronic or physical records regarding their establishments. Delaying, denying, limiting or refusing inspection by the FDA may lead to a product being deemed to be adulterated.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Review and Approval of an NDA or a BLA</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results of product candidate development, preclinical testing and clinical trials, including negative or ambiguous results as well as positive findings, are submitted to the FDA as part of an NDA or a BLA requesting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7" w:lineRule="auto"/>
        <w:rPr>
          <w:sz w:val="20"/>
          <w:szCs w:val="20"/>
          <w:color w:val="auto"/>
        </w:rPr>
      </w:pPr>
      <w:r>
        <w:rPr>
          <w:rFonts w:ascii="Arial" w:cs="Arial" w:eastAsia="Arial" w:hAnsi="Arial"/>
          <w:sz w:val="18"/>
          <w:szCs w:val="18"/>
          <w:color w:val="auto"/>
        </w:rPr>
        <w:t>a license to market the product. These applications must contain extensive manufacturing information and detailed information on the composition of the product and proposed labeling.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the NDA or BLA is sufficient to accept for filing based on the agency’s threshold determination that it is 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sponsor within ten months of the 60-day filing date, and for a priority review application within six months. The FDA does not always meet its PDUFA goal dates for standard and priority NDA or BLA applications,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sponsor otherwise provides additional information or clarification regarding information already provided in the submission within the last three months before the PDUFA goal date.</w:t>
      </w:r>
    </w:p>
    <w:p>
      <w:pPr>
        <w:spacing w:after="0" w:line="19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FDA reviews NDA and BLA applications to determine, among other things, whether the proposed product is safe and potent, or effective, for its intended use, and has an acceptable purity profile, and whether the product is being manufactured in accordance with GMP requirements to assure and preserve the product’s identity, safety, strength, quality, potency and purity. On the basis of the FDA’s evaluation of the application and accompanying information, including the results of the inspection of the manufacturing facilities and any FDA audits of clinical trial sites to assure compliance with GCPs, the FDA may issue an approval letter, denial letter or complete response letter. An approval letter authorizes commercial marketing of the product with specific prescribing information for specific indications. Under the FDCA, the FDA may approve an NDA if it determines that the product is safe and effective for its intended use, the benefits of the drug outweigh any risks, and the methods used in manufacturing the drug and the controls used to maintain the drug’s quality are adequate to preserve the drug’s identity, strength, quality and purity. Under the PHSA, the FDA may approve a BLA if it determines that the product is safe, pure and potent and the facility where the product will be manufactured meets standards designed to ensure that it continues to be safe, pure and potent. If the application is not approved, the FDA may issue a complete response letter, which will contain the conditions that must be met in order to secure final approval of the application, and when possible will outline recommended actions the sponsor might take to obtain approval of the application. If a complete response letter is issued, the sponsor may either resubmit the NDA or BLA, addressing all of the deficiencies identified in the letter, or withdraw the application.</w:t>
      </w:r>
    </w:p>
    <w:p>
      <w:pPr>
        <w:spacing w:after="0" w:line="175"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 sponsor in response to an action letter. Under the goals and policies agreed to by the FDA under PDUFA, the FDA aims to review and act on a Class 1 resubmission with two months of receipt and, with respect to a Class 2 resubmission, within six months of receipt. The FDA will not approve an application until issues identified in the complete response letter have been addressed.</w:t>
      </w:r>
    </w:p>
    <w:p>
      <w:pPr>
        <w:spacing w:after="0" w:line="158"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and under what conditions. In particular, the FDA may refer applications for novel drug or biological products or drug or biological products that present difficult questions of safety or efficacy to an advisory committee. Typically, an Advisory Committee is a panel of independent experts, including clinicians and other scientific experts. The FDA is not bound by the recommendations of an Advisory Committee, but it considers such recommendations carefully when making decisions.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If the FDA approves a new product, it may limit the approved indications for use of the product, or limit the approval to specific dosages. It may also require that certain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or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FDA may designate certain products for expedited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8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disease or condition. Fast track designation applies to the combination of the product and the specific indication for which it is being studied. The sponsor of a new drug or biologic may request that the FDA designate the drug or biologic as a fast track product at any time during the clinical development of the product.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2012, Congress enacted the Food and Drug Administration Safety and Innovation Act, or the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facilitate the design of clinical trials in an efficient manner.</w:t>
      </w:r>
    </w:p>
    <w:p>
      <w:pPr>
        <w:spacing w:after="0" w:line="17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00"/>
          </w:cols>
          <w:pgMar w:left="24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to six months (compared to 10 months under standard review).</w:t>
      </w:r>
    </w:p>
    <w:p>
      <w:pPr>
        <w:spacing w:after="0" w:line="188"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Fast track designation, priority review and breakthrough therapy designation may expedite the development or approval process, but do not change the standards for approval.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71"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All promotional materials for product candidates approved under accelerated regulations are subject to prior review by the FDA.</w:t>
      </w:r>
    </w:p>
    <w:p>
      <w:pPr>
        <w:spacing w:after="0" w:line="19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Accelerated approval pathways are available for regenerative medicine therapies that meet certain conditions. Regenerative medicine therapies include cell therapies (both allogenic and autologous), therapeutic tissue engineering products, human cell and tissue products, and combination products using any such therapies or products, except those regulated under section 361 of the PHSA. Human gene therapies, including genetically modified cells, that lead to a sustained effect on cells or tissues, may also meet the definition of a regenerative medicine therapy, as may xenogeneic cell products.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00"/>
          </w:cols>
          <w:pgMar w:left="240" w:top="460"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Regenerative medicine therapies designed to treat, modify, reverse or cure serious conditions are eligible for FDA’s expedited programs, including fast track designation, breakthrough therapy designation, priority review and accelerated approval, if they meet the criteria for such programs. They may also be eligible for Regenerative Medicine Advanced Therapy Designation, or RMAT designation.</w:t>
      </w:r>
    </w:p>
    <w:p>
      <w:pPr>
        <w:spacing w:after="0" w:line="181"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An investigational drug is eligible for RMAT designation if it meets the definition of regenerative medicine therapy, it is intended to treat, modify, reverse or cure a serious condition, and preliminary clinical evidence indicates that the regenerative medicine therapy has the potential to address unmet medical needs for such condition. An unmet medical need is a condition whose treatment or diagnosis is not addressed adequately by available therapy.</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RMAT designation confers all the benefits of the fast track and breakthrough therapy designation programs, including early actions with the FDA. The FDA reviews each application on a case-by-case basis to determine whether the clinical evidence is sufficient to support RMAT designation, considering factors such as the rigor of data collection, the consistency and persuasiveness of the outcomes, the number of patients or subjects, and the severity, rarity or prevalence of the condition, among other factors. The FDA may decline to grant RMAT designation if it finds the clinical evidence insufficient.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RMAT designation may expedite the development or approval process, but it does not change the standards for approval.</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If regulatory approval for marketing of a product or for a new indication for an existing product is obtained, the sponsor will be required to comply with rigorous and extensive post-approval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and promotional labeling.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GMP regulations, which impose certain procedural and documentation requirements upon manufacturers. Accordingly, the BLA holder and its third-party manufacturers must continue to expend time, money and effort in the areas of production and quality control to maintain compliance with GMP regulations and other regulatory requirements.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 requirements to assess new safety risks; or imposition of distribution restrictions or other restrictions under a REMS program. Other potential consequences include, among other things:</w:t>
      </w:r>
    </w:p>
    <w:p>
      <w:pPr>
        <w:spacing w:after="0" w:line="64" w:lineRule="exact"/>
        <w:rPr>
          <w:sz w:val="20"/>
          <w:szCs w:val="20"/>
          <w:color w:val="auto"/>
        </w:rPr>
      </w:pPr>
    </w:p>
    <w:p>
      <w:pPr>
        <w:ind w:left="640" w:hanging="328"/>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fines, untitled letters or warning letters or holds on post-approval clinical trials;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30" w:lineRule="exact"/>
        <w:rPr>
          <w:rFonts w:ascii="Arial" w:cs="Arial" w:eastAsia="Arial" w:hAnsi="Arial"/>
          <w:sz w:val="18"/>
          <w:szCs w:val="18"/>
          <w:color w:val="auto"/>
        </w:rPr>
      </w:pPr>
    </w:p>
    <w:p>
      <w:pPr>
        <w:ind w:left="640" w:right="480" w:hanging="328"/>
        <w:spacing w:after="0" w:line="277" w:lineRule="auto"/>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80"/>
          </w:cols>
          <w:pgMar w:left="24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328"/>
        <w:spacing w:after="0"/>
        <w:tabs>
          <w:tab w:leader="none" w:pos="6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injunctions, fines, debarment, disgorgement of profits or the imposition of civil or criminal penalties.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Orphan Drug Designation</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15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Orphan drug designation qualifies a company for certain financial incentives, including tax advantages and, if the product receives the first FDA approval for the indication for which it has orphan designation, market exclusivity for seven years following the date of the product’s marketing approval. An application for designation as an orphan product can be made any time prior to the filing of an application for approval to market the product. Once a product receives orphan drug designation from the Office of Orphan Products Development at the FDA, the product must then go through the review and approval process like any other product.</w:t>
      </w:r>
    </w:p>
    <w:p>
      <w:pPr>
        <w:spacing w:after="0" w:line="188"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17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Orphan product designation does not convey any advantage in or shorten the duration of the regulatory review and approval process.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Under the Pediatric Research Equity Act of 2003, an NDA or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who are planning to submit a marketing application for a drug or biological product that includes a new active ingredient, new indication, new dosage form, new dosing regimen or new route of administration must also submit pediatric study plans prior to the assessment data, and no later than 60 calendar days following an end-of-Phase 2 meeting with the FDA or, if there is no such meeting,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as early as practicable before the initiation of the Phase 3 or Phase 2/3 study. Pediatric study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or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Biosimilars and Reference Product Exclusivity</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the ACA, signed into law in 2010, includes a subtitle called the Biologics Price Competition and Innovation Act of 2009, or the BPCIA,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w:t>
      </w:r>
    </w:p>
    <w:p>
      <w:pPr>
        <w:spacing w:after="0" w:line="17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sponsor’s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8"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firstLine="441"/>
        <w:spacing w:after="0" w:line="312" w:lineRule="auto"/>
        <w:rPr>
          <w:sz w:val="20"/>
          <w:szCs w:val="20"/>
          <w:color w:val="auto"/>
        </w:rPr>
      </w:pPr>
      <w:r>
        <w:rPr>
          <w:rFonts w:ascii="Arial" w:cs="Arial" w:eastAsia="Arial" w:hAnsi="Arial"/>
          <w:sz w:val="16"/>
          <w:szCs w:val="16"/>
          <w:color w:val="auto"/>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87" w:lineRule="exact"/>
        <w:rPr>
          <w:sz w:val="20"/>
          <w:szCs w:val="20"/>
          <w:color w:val="auto"/>
        </w:rPr>
      </w:pPr>
    </w:p>
    <w:p>
      <w:pPr>
        <w:ind w:left="640" w:right="360" w:hanging="328"/>
        <w:spacing w:after="0" w:line="277" w:lineRule="auto"/>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75" w:lineRule="exact"/>
        <w:rPr>
          <w:rFonts w:ascii="Arial" w:cs="Arial" w:eastAsia="Arial" w:hAnsi="Arial"/>
          <w:sz w:val="18"/>
          <w:szCs w:val="18"/>
          <w:color w:val="auto"/>
        </w:rPr>
      </w:pPr>
    </w:p>
    <w:p>
      <w:pPr>
        <w:ind w:left="640" w:right="720" w:hanging="328"/>
        <w:spacing w:after="0" w:line="277" w:lineRule="auto"/>
        <w:tabs>
          <w:tab w:leader="none" w:pos="6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75" w:lineRule="exact"/>
        <w:rPr>
          <w:rFonts w:ascii="Arial" w:cs="Arial" w:eastAsia="Arial" w:hAnsi="Arial"/>
          <w:sz w:val="18"/>
          <w:szCs w:val="18"/>
          <w:color w:val="auto"/>
        </w:rPr>
      </w:pPr>
    </w:p>
    <w:p>
      <w:pPr>
        <w:ind w:left="640" w:right="20" w:hanging="328"/>
        <w:spacing w:after="0" w:line="279" w:lineRule="auto"/>
        <w:tabs>
          <w:tab w:leader="none" w:pos="6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 xml:space="preserve">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w:t>
      </w:r>
      <w:r>
        <w:rPr>
          <w:rFonts w:ascii="Arial" w:cs="Arial" w:eastAsia="Arial" w:hAnsi="Arial"/>
          <w:sz w:val="17"/>
          <w:szCs w:val="17"/>
          <w:i w:val="1"/>
          <w:iCs w:val="1"/>
          <w:color w:val="auto"/>
        </w:rPr>
        <w:t>e.g</w:t>
      </w:r>
      <w:r>
        <w:rPr>
          <w:rFonts w:ascii="Arial" w:cs="Arial" w:eastAsia="Arial" w:hAnsi="Arial"/>
          <w:sz w:val="17"/>
          <w:szCs w:val="17"/>
          <w:color w:val="auto"/>
        </w:rPr>
        <w:t>., to reflect a change in intended use, dosage form, strength, route of administration or significant change in dose; or</w:t>
      </w:r>
    </w:p>
    <w:p>
      <w:pPr>
        <w:spacing w:after="0" w:line="76" w:lineRule="exact"/>
        <w:rPr>
          <w:rFonts w:ascii="Arial" w:cs="Arial" w:eastAsia="Arial" w:hAnsi="Arial"/>
          <w:sz w:val="17"/>
          <w:szCs w:val="17"/>
          <w:color w:val="auto"/>
        </w:rPr>
      </w:pPr>
    </w:p>
    <w:p>
      <w:pPr>
        <w:ind w:left="640" w:right="180" w:hanging="328"/>
        <w:spacing w:after="0" w:line="342" w:lineRule="auto"/>
        <w:tabs>
          <w:tab w:leader="none" w:pos="6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2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Under the 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biological product, the FDA center responsible for premarket review of the biological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6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 and sell the product in those countries or jurisdictions.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process governing approval of medicinal products, including biological medicinal products and advanced therapy medicinal products, or ATMPs, which comprise gene therapy products, somatic cell therapy products and tissue-engineered products, in the European Union generally follows the same lines as in the United States. It entails satisfactory completion of pharmaceutical development, nonclinical and clinical studies to establish the safety and efficacy of the medicinal product for each proposed indication. Moreover, an applicant must also demonstrate the ability to manufacture the product to a suitable quality.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European Union has been implemented through national legislation of the member states.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Clinical trials must be conducted in accordance with European Union and national regulations and the International Conference on Harmonization, or ICH, guidelines on GCP.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w:t>
      </w:r>
    </w:p>
    <w:p>
      <w:pPr>
        <w:spacing w:after="0" w:line="18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Under this system, a sponsor must obtain approval from the competent national authority of a European Union member state in which the clinical trial is to be conducted or in multiple member states if the clinical trial is to be conducted in a number of member states. Furthermore, the sponsor may only start a clinical trial at a specific study site after the independent ethics committee has issued a favorable opinion. The clinical trial application must be accompanied by a copy of the trial protocol and an investigational medicinal product dossier with supporting information prescribed by Directive 2001/20/EC and Directive 2005/28/EC and corresponding national laws of the member states and further detailed in applicable guidance documents. Moreover, the sponsor must take out a clinical trial insurance policy, and in most European Union countries the sponsor is liable to provide ‘no fault’ compensation to any study subject injured in the clinical trial.</w:t>
      </w:r>
    </w:p>
    <w:p>
      <w:pPr>
        <w:spacing w:after="0" w:line="17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is expected that the new Clinical Trials Regulation will apply at earliest in 2020. It will overhaul the current system of approvals for clinical trials in the European Union. Specifically, the new regulation, which will be directly applicable in all member states, aims to simplify and streamline the approval of clinical trials in the European Union. For instance, the new Clinical Trials Regulation provides for a streamlined application procedure using a single entry point and strictly defined deadlines for the assessment of clinical trial applications. This means that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w:t>
      </w:r>
    </w:p>
    <w:p>
      <w:pPr>
        <w:spacing w:after="0" w:line="19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sponsor of a clinical trial must register the clinical trial in advance, and information related to the product, patient population, phase of investigation, study sites and investigators, and other aspects of the clinical trial will be made public as part of the registration. The results of the clinical trial must be submitted to the competent authorities and, with the exception of non-pediatric Phase 1 trials, will be made public at the latest within 12 months after the end of the trial.</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During the development of a medicinal product, the European Medicines Agency, or EMA, and national medicines regulators within the European Union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of the product concerned.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To obtain a marketing authorization for a product under the European Union regulatory system, a sponsor must submit a marketing authorization application, or MAA, either under a centralized procedure administered by the EMA or one of the procedures administered by competent authorities in European Union member states (decentralized procedure, national procedure or mutual recognition procedure).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00"/>
          </w:cols>
          <w:pgMar w:left="240" w:top="460"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All application procedures require an application in the common technical document, or CTD, format, which includes the submission of detailed information about the manufacturing and quality of the product, and nonclinical and clinical trial information. There is an increasing trend in the European Union toward greater transparency and, while the manufacturing or quality information is currently generally protected as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 In October 2014, the EMA adopted a policy under which clinical study reports would be posted on the agency’s website following the grant, denial or withdrawal of a MAA, subject to procedures for limited redactions and protection against unfair commercial use. A similar requirement is contained in the new Clinical Trials Regulation that is currently expected to take effect at earliest in 2020.</w:t>
      </w:r>
    </w:p>
    <w:p>
      <w:pPr>
        <w:spacing w:after="0" w:line="17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 marketing authorization may be granted only to a sponsor established in the European Union. Regulation (EC) No. 1901/2006 on medicinal products for pediatric use provides that prior to obtaining a marketing authorization in the European Union in the centralized procedure, a sponsor must demonstrate compliance with all measures included in an EMA-approved Pediatric Investigation Plan covering all subsets of the pediatric population, unless the EMA has granted a product-specific waiver, class waiver or deferral for one or more of the measures included in the Pediatric Investigation Plan.</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9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Under the centralized procedure, the CHMP established at the EMA is responsible for conducting the assessment of a product to define its risk/benefit profile. Under the centralized procedure, the maximum timeframe for the evaluation of an MAA is 210 days, excluding clock stops when additional information or written or oral explanation is to be provided by the applicant in response to questions from the CHMP. Accelerated evaluation may be granted by the CHMP in exceptional cases, when a medicinal product is of major interest from the point of view of public health determined by three cumulative criteria: (i) the seriousness of the disease (</w:t>
      </w:r>
      <w:r>
        <w:rPr>
          <w:rFonts w:ascii="Arial" w:cs="Arial" w:eastAsia="Arial" w:hAnsi="Arial"/>
          <w:sz w:val="17"/>
          <w:szCs w:val="17"/>
          <w:i w:val="1"/>
          <w:iCs w:val="1"/>
          <w:color w:val="auto"/>
        </w:rPr>
        <w:t>e.g</w:t>
      </w:r>
      <w:r>
        <w:rPr>
          <w:rFonts w:ascii="Arial" w:cs="Arial" w:eastAsia="Arial" w:hAnsi="Arial"/>
          <w:sz w:val="17"/>
          <w:szCs w:val="17"/>
          <w:color w:val="auto"/>
        </w:rPr>
        <w:t>., heavy disabling or life-threatening diseases) to be treated, (ii) the absence or insufficiency of an appropriate alternative therapeutic approach, and (iii) anticipation of high therapeutic benefit.</w:t>
      </w:r>
    </w:p>
    <w:p>
      <w:pPr>
        <w:spacing w:after="0" w:line="178"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47" w:lineRule="exact"/>
        <w:rPr>
          <w:sz w:val="20"/>
          <w:szCs w:val="20"/>
          <w:color w:val="auto"/>
        </w:rPr>
      </w:pPr>
    </w:p>
    <w:p>
      <w:pPr>
        <w:ind w:left="200" w:right="180" w:firstLine="441"/>
        <w:spacing w:after="0" w:line="253" w:lineRule="auto"/>
        <w:rPr>
          <w:sz w:val="20"/>
          <w:szCs w:val="20"/>
          <w:color w:val="auto"/>
        </w:rPr>
      </w:pPr>
      <w:r>
        <w:rPr>
          <w:rFonts w:ascii="Arial" w:cs="Arial" w:eastAsia="Arial" w:hAnsi="Arial"/>
          <w:sz w:val="18"/>
          <w:szCs w:val="18"/>
          <w:color w:val="auto"/>
        </w:rPr>
        <w:t>The Committee for Advanced Therapies, or CAT, is responsible in conjunction with the CHMP for the evaluation of ATMPs. The CAT is primarily responsible for the scientific evaluation of ATMPs and prepares a draft opinion on the quality, safety and efficacy of each ATMP for which a MAA is submitted. The CAT’s opinion is then taken into account by the CHMP when giving its final recommendation regarding the authorization of a product in view of the balance of benefits and risks identified. Although the CAT’s draft opinion is submitted to the CHMP for final approval, the CHMP may depart from the draft opinion if it provides detailed scientific justification. The CHMP and CAT are also responsible for providing guidelines on ATMPs and have published numerous guidelines, including specific guidelines on gene therapies and cell therapies. These guidelines, which are not legally binding, provide additional guidance on the factors that the EMA will consider in relation to the development and evaluation of ATMPs and include, inter alia, the preclinical studies required to characterize ATMPs, the manufacturing and control information that should be submitted in a MAA;</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post-approval measures required to monitor patients and evaluate the long term efficacy and potential adverse reactions of ATMPs.</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84" w:lineRule="exact"/>
        <w:rPr>
          <w:sz w:val="20"/>
          <w:szCs w:val="20"/>
          <w:color w:val="auto"/>
        </w:rPr>
      </w:pPr>
    </w:p>
    <w:p>
      <w:pPr>
        <w:ind w:left="640" w:right="160" w:hanging="328"/>
        <w:spacing w:after="0" w:line="277" w:lineRule="auto"/>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75" w:lineRule="exact"/>
        <w:rPr>
          <w:rFonts w:ascii="Arial" w:cs="Arial" w:eastAsia="Arial" w:hAnsi="Arial"/>
          <w:sz w:val="18"/>
          <w:szCs w:val="18"/>
          <w:color w:val="auto"/>
        </w:rPr>
      </w:pPr>
    </w:p>
    <w:p>
      <w:pPr>
        <w:ind w:left="640" w:hanging="328"/>
        <w:spacing w:after="0" w:line="277" w:lineRule="auto"/>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75" w:lineRule="exact"/>
        <w:rPr>
          <w:rFonts w:ascii="Arial" w:cs="Arial" w:eastAsia="Arial" w:hAnsi="Arial"/>
          <w:sz w:val="18"/>
          <w:szCs w:val="18"/>
          <w:color w:val="auto"/>
        </w:rPr>
      </w:pPr>
    </w:p>
    <w:p>
      <w:pPr>
        <w:ind w:left="640" w:right="580" w:hanging="328"/>
        <w:spacing w:after="0" w:line="277" w:lineRule="auto"/>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EMA decides, on justified grounds, to proceed with one additional five-year renewal.</w:t>
      </w:r>
    </w:p>
    <w:p>
      <w:pPr>
        <w:spacing w:after="0" w:line="158"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the CHMP finds that all the following requirements are met:</w:t>
      </w:r>
    </w:p>
    <w:p>
      <w:pPr>
        <w:spacing w:after="0" w:line="71" w:lineRule="exact"/>
        <w:rPr>
          <w:sz w:val="20"/>
          <w:szCs w:val="20"/>
          <w:color w:val="auto"/>
        </w:rPr>
      </w:pPr>
    </w:p>
    <w:p>
      <w:pPr>
        <w:ind w:left="1180" w:hanging="436"/>
        <w:spacing w:after="0"/>
        <w:tabs>
          <w:tab w:leader="none" w:pos="11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benefit-risk balance of the product is positive;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it is likely that the applicant will be able to provide comprehensive data;</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benefit to public health of the medicinal product’s immediate availability on the market outweighs the risks due to need for further data.</w:t>
      </w:r>
    </w:p>
    <w:p>
      <w:pPr>
        <w:spacing w:after="0" w:line="24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Once comprehensive data on the medicinal product have been obtained, the marketing authorization may be converted into a standard marketing authorization which is no longer subject to specific obligations. Initially, this is valid for five years, but can be renewed for unlimited validity.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European Union medicines rules expressly permit the member states to adopt national legislation prohibiting or restricting the sale, supply or use of any medicinal products containing, consisting of or derived from a specific type of human or animal cell, such as embryonic stem cells.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left="200" w:right="180" w:firstLine="441"/>
        <w:spacing w:after="0" w:line="254" w:lineRule="auto"/>
        <w:rPr>
          <w:sz w:val="20"/>
          <w:szCs w:val="20"/>
          <w:color w:val="auto"/>
        </w:rPr>
      </w:pPr>
      <w:r>
        <w:rPr>
          <w:rFonts w:ascii="Arial" w:cs="Arial" w:eastAsia="Arial" w:hAnsi="Arial"/>
          <w:sz w:val="18"/>
          <w:szCs w:val="18"/>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products to assure their safety and identity. Specifically, medicinal products may only be manufactured in the European Union, or imported into the European Union from another country, by the holder of a manufacturing/import authorization from the competent national authority. The manufacturer or importer must have a qualified person who is responsible for certifying that each batch of product has been manufactured in accordance with European Union standards of good manufacturing practice, or GMP, before releasing the product for commercial distribution in the European Union or for use in a clinical trial. Manufacturing facilities are subject to periodic inspections by the competent authorities for compliance with GMP.</w:t>
      </w:r>
    </w:p>
    <w:p>
      <w:pPr>
        <w:spacing w:after="0" w:line="17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Finally, the marketing and promotion of authorized products, including industry-sponsored continuing medical education and advertising directed toward the prescribers of products and/or the general public, are strictly regulated in the European Union. In principle,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Directive 2001/83/EC, as amended, the details are governed by regulations in each member state and can differ from one country to another.</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Human Cells and Tissues</w:t>
      </w:r>
    </w:p>
    <w:p>
      <w:pPr>
        <w:spacing w:after="0" w:line="117"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Human cells and tissues that are intended for human applications but that do not fall within the scope of rules governing medicinal products or medical devices are not subject to premarket review and approval, nor do they require extensive preclinical and clinical testing. However, there are European Union rules governing the donation, procurement, testing and storage of human cells and tissues intended for human application, whether or not they are ATMPs. These rules also cover the processing, preservation and distribution of human cell and tissues that are not ATMPs.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and vice versa. There are also requirements to report serious adverse events and reactions linked to the quality and safety of cells and tissues. More detailed rules may exist at the national level.</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Named Patient Supplies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European Union medicines rules allow individual member states to permit the supply of a medicinal product without a marketing authorization to fulfill special needs, where the product is supplied in response to a bona fide unsolicited order, formulated in accordance with the specifications of a healthcare professional and for use by an individual patient under his direct personal responsibility. This may in certain countries also apply to products manufactured in a country outside the European Union and imported to treat specific patients or small groups of patients.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10,000 persons in the European Union when the application is made, or (ii)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sponsor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16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An orphan drug designation provides a number of benefits, including fee reductions, regulatory assistance and the possibility to apply for a centralized European Union marketing authorization. Marketing authorization for an orphan drug leads to a 10-year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 currently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European Data Collection and Data Protection Laws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are required to comply with strict data protection and privacy legislation in the jurisdictions in which we operate, including the General Data Protection Regulation (EU) 2016/679, or GDPR. The GDPR governs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collection and use of personal data in the European Union relating to individuals (</w:t>
      </w:r>
      <w:r>
        <w:rPr>
          <w:rFonts w:ascii="Arial" w:cs="Arial" w:eastAsia="Arial" w:hAnsi="Arial"/>
          <w:sz w:val="16"/>
          <w:szCs w:val="16"/>
          <w:i w:val="1"/>
          <w:iCs w:val="1"/>
          <w:color w:val="auto"/>
        </w:rPr>
        <w:t>e.g</w:t>
      </w:r>
      <w:r>
        <w:rPr>
          <w:rFonts w:ascii="Arial" w:cs="Arial" w:eastAsia="Arial" w:hAnsi="Arial"/>
          <w:sz w:val="16"/>
          <w:szCs w:val="16"/>
          <w:color w:val="auto"/>
        </w:rPr>
        <w:t>., patients). The GDPR imposes several requirements on organizations that process such data, including: to observe core data processing principles; to comply with various accountability measures; to provide more detailed information to individuals about data processing activities; to establish a legal basis to process personal data (including enhanced consent requirements); to maintain the integrity, security and confidentiality of personal data; and to report personal data breaches. The GDPR also restricts the transfer of personal data outside of the European Economic Area (</w:t>
      </w:r>
      <w:r>
        <w:rPr>
          <w:rFonts w:ascii="Arial" w:cs="Arial" w:eastAsia="Arial" w:hAnsi="Arial"/>
          <w:sz w:val="16"/>
          <w:szCs w:val="16"/>
          <w:i w:val="1"/>
          <w:iCs w:val="1"/>
          <w:color w:val="auto"/>
        </w:rPr>
        <w:t>e.g</w:t>
      </w:r>
      <w:r>
        <w:rPr>
          <w:rFonts w:ascii="Arial" w:cs="Arial" w:eastAsia="Arial" w:hAnsi="Arial"/>
          <w:sz w:val="16"/>
          <w:szCs w:val="16"/>
          <w:color w:val="auto"/>
        </w:rPr>
        <w:t>., to the United States and other countries that are not deemed to provide adequate protection under their domestic laws). The GDPR may impose additional responsibility and liability in relation to personal data that we process, and require us to put in place additional mechanisms ensuring compliance with the new data protection rules. This may be onerous and adversely affect our business, financial condition, results of operations and prospects. Failure to comply with the requirements of the GDPR and related national data protection laws of European Union member states may result in a variety of enforcement measures, including significant fines and other administrative measures. The GDPR has introduced substantial fines for breaches of the data protection rules, increased powers for regulators, enhanced rights for individuals, and new rules on judicial remedies and collective redress. We may be subject to claims by third parties, such as patients or regulatory bodies, that we or our employees or independent contractors inadvertently or otherwise breached GDPR and related data protection rules. Litigation may be necessary to defend against these claims. There is no guarantee of success in defending these claims, and if we do not prevail, we could be required to pay substantial fines and/or damages and could suffer significant reputational harm. Even if we are successful, litigation could result in substantial cost and be a distraction to management and other employees.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Regulation of Diagnostic Products in the European Union</w:t>
      </w:r>
    </w:p>
    <w:p>
      <w:pPr>
        <w:spacing w:after="0" w:line="11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the European Union,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products are regulated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medical devices, or IVDs. The marketing of IVDs is subject to compliance with the In Vitro Diagnostic Medical Devices Directive 98/79/EC (IVD Directive). An IVD may be placed on the market within the European Union only if it conforms to certain “essential requirements” and bears the CE Mark. The most fundamental and essential requirement is that an IVD must be designed and manufactured in such a way that it will not compromise the clinical condition or safety of patients, or the safety and health of users and others. In addition, the IVD must achieve the performance(s) stated by the manufacturer and be designed and manufactured in a suitable manner.</w:t>
      </w:r>
    </w:p>
    <w:p>
      <w:pPr>
        <w:spacing w:after="0" w:line="193"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Manufacturers must demonstrate that their IVDs conform to the relevant essential requirements through a conformity assessment procedure. The nature of the assessment depends upon the classification of the device. For IVDs intended to determine certain conditions or detect certain diseases, conformity assessment procedures involve a notified body. Notified bodies are often private entities and are authorized or licensed to perform such assessments by government authorities. Conformity assessment procedures require an assessment of available clinical evidence, literature data for the product and post-market experience in respect of similar products already marketed. Notified bodies also may review the manufacturer’s quality systems. If satisfied that the product conforms to the relevant essential requirements, the notified body issues a certificate of conformity, which the manufacturer uses as a basis for its own declaration of conformity and application of the CE Mark. For all other IVDs, the manufacturer performs its own conformity assessment procedure and self-declares conformity before applying the CE Mark. Application of the CE Mark allows the general commercializing of an IVD in the European Union. The manufacturer or, if the manufacturer is located outside the European Union, its authorized representative in the European Union must also register with the competent authority in the European Union member state in which it is located.</w:t>
      </w:r>
    </w:p>
    <w:p>
      <w:pPr>
        <w:spacing w:after="0" w:line="16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May 2017, the European Union adopted a new In Vitro Diagnostic Medical Devices Regulation (EU) 2017/746, or the IVD Regulation, which will apply in the European Union from May 26, 2022. The IVD Regulation does not set out a radically new system, but clearly envisages, among other things, stricter controls of IVDs, including the involvement of notified bodies in conformity assessments of many more categories of IVD and increased expectations as regards clinical data for IVDs. The IVD Regulation also envisages greater control over notified bodies and their standards, increased transparency, more robust device vigilance requirements and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clarification of the rules for clinical investigations. Under transitional provisions, IVDs with notified body certificates issued under the IVD Directive prior to May 26, 2022 may continue to be placed on the market for the remaining validity of the certificate, until May 27, 2024 at the latest. After the expiry of any applicable transitional period, only IVDs that have been CE marked under the IVD Regulation may be placed on the market in the European Union.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cost-effectiveness of medical products and services and imposing controls to manage costs.</w:t>
      </w:r>
    </w:p>
    <w:p>
      <w:pPr>
        <w:spacing w:after="0" w:line="173"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and the cost of these studies would be in addition to the costs required to obtain FDA or other comparable marketing approvals. Even after pharmacoeconomic studies are conducted,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16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as well as other third-party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Outside the United States, we will face challenges in ensuring and obtaining adequate coverage and payment for any product candidates we may develop. Pricing of prescription pharmaceuticals is subject to governmental control in many countries, including in particular the member states of the European Union. Pricing negotiations with governmental authorities or other third-party payors such as statutory health insurance funds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93"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 called health technology assessments) in order to obtain reimbursement or pricing approval. Moreover, European Union member states may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in the marketplace.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product.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transparency and patient privacy laws and regulations and other healthcare laws and regulations that may constrain our business and/or financial arrangements. Restrictions under applicable federal and state healthcare laws and regulations include, without limitation, the following:</w:t>
      </w:r>
    </w:p>
    <w:p>
      <w:pPr>
        <w:spacing w:after="0" w:line="94" w:lineRule="exact"/>
        <w:rPr>
          <w:sz w:val="20"/>
          <w:szCs w:val="20"/>
          <w:color w:val="auto"/>
        </w:rPr>
      </w:pPr>
    </w:p>
    <w:p>
      <w:pPr>
        <w:ind w:left="640" w:right="20" w:hanging="328"/>
        <w:spacing w:after="0" w:line="293" w:lineRule="auto"/>
        <w:tabs>
          <w:tab w:leader="none" w:pos="6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and entities from knowingly and willfully soliciting, receiving, offering or paying remuneration, directly or indirectly, in-cash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 Moreover, the government may assert that a claim that includes items or services resulting from a violation of the federal Anti-Kickback Statute constitutes a false or fraudulent claim for purposes of the civil False Claims Act;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hanging="328"/>
        <w:spacing w:after="0" w:line="259" w:lineRule="auto"/>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640" w:right="60" w:hanging="328"/>
        <w:spacing w:after="0" w:line="259" w:lineRule="auto"/>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HIPAA, which created additional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92" w:lineRule="exact"/>
        <w:rPr>
          <w:rFonts w:ascii="Arial" w:cs="Arial" w:eastAsia="Arial" w:hAnsi="Arial"/>
          <w:sz w:val="18"/>
          <w:szCs w:val="18"/>
          <w:color w:val="auto"/>
        </w:rPr>
      </w:pPr>
    </w:p>
    <w:p>
      <w:pPr>
        <w:ind w:left="640" w:right="40" w:hanging="328"/>
        <w:spacing w:after="0" w:line="302" w:lineRule="auto"/>
        <w:tabs>
          <w:tab w:leader="none" w:pos="6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without the appropriate authorization by entities subject to the law, such as healthcare providers, health plans and healthcare clearinghouses and their respective business associates;</w:t>
      </w:r>
    </w:p>
    <w:p>
      <w:pPr>
        <w:spacing w:after="0" w:line="59" w:lineRule="exact"/>
        <w:rPr>
          <w:rFonts w:ascii="Arial" w:cs="Arial" w:eastAsia="Arial" w:hAnsi="Arial"/>
          <w:sz w:val="16"/>
          <w:szCs w:val="16"/>
          <w:color w:val="auto"/>
        </w:rPr>
      </w:pPr>
    </w:p>
    <w:p>
      <w:pPr>
        <w:ind w:left="640" w:right="320" w:hanging="328"/>
        <w:spacing w:after="0" w:line="302" w:lineRule="auto"/>
        <w:tabs>
          <w:tab w:leader="none" w:pos="6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ACA, which requires certain manufacturers of drugs, devices, biologics and medical supplies to report annually to the Centers for Medicare &amp; Medicaid Services, or CMS, within the U.S. Department of Health and Human Services, information related to payments and other transfers of value made by that entity to physicians and teaching hospitals, as well as ownership and investment interests held by physicians and their immediate family members;</w:t>
      </w:r>
    </w:p>
    <w:p>
      <w:pPr>
        <w:spacing w:after="0" w:line="59" w:lineRule="exact"/>
        <w:rPr>
          <w:rFonts w:ascii="Arial" w:cs="Arial" w:eastAsia="Arial" w:hAnsi="Arial"/>
          <w:sz w:val="16"/>
          <w:szCs w:val="16"/>
          <w:color w:val="auto"/>
        </w:rPr>
      </w:pPr>
    </w:p>
    <w:p>
      <w:pPr>
        <w:ind w:left="640" w:right="600" w:hanging="328"/>
        <w:spacing w:after="0" w:line="277" w:lineRule="auto"/>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640" w:hanging="328"/>
        <w:spacing w:after="0" w:line="277" w:lineRule="auto"/>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to government programs and which may be used in the calculation of reimbursement and/or discounts on marketed products;</w:t>
      </w:r>
    </w:p>
    <w:p>
      <w:pPr>
        <w:spacing w:after="0" w:line="75" w:lineRule="exact"/>
        <w:rPr>
          <w:rFonts w:ascii="Arial" w:cs="Arial" w:eastAsia="Arial" w:hAnsi="Arial"/>
          <w:sz w:val="18"/>
          <w:szCs w:val="18"/>
          <w:color w:val="auto"/>
        </w:rPr>
      </w:pPr>
    </w:p>
    <w:p>
      <w:pPr>
        <w:ind w:left="640" w:right="500" w:hanging="328"/>
        <w:spacing w:after="0" w:line="277" w:lineRule="auto"/>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Foreign Corrupt Practices Act, a U.S. law which regulates certain financial relationships with foreign government officials (which could include, for example, certain medical professionals);</w:t>
      </w:r>
    </w:p>
    <w:p>
      <w:pPr>
        <w:spacing w:after="0" w:line="75" w:lineRule="exact"/>
        <w:rPr>
          <w:rFonts w:ascii="Arial" w:cs="Arial" w:eastAsia="Arial" w:hAnsi="Arial"/>
          <w:sz w:val="18"/>
          <w:szCs w:val="18"/>
          <w:color w:val="auto"/>
        </w:rPr>
      </w:pPr>
    </w:p>
    <w:p>
      <w:pPr>
        <w:ind w:left="640" w:hanging="328"/>
        <w:spacing w:after="0"/>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national anti-bribery laws and laws governing interactions with healthcare professionals of European Union Member States;</w:t>
      </w:r>
    </w:p>
    <w:p>
      <w:pPr>
        <w:spacing w:after="0" w:line="130" w:lineRule="exact"/>
        <w:rPr>
          <w:rFonts w:ascii="Arial" w:cs="Arial" w:eastAsia="Arial" w:hAnsi="Arial"/>
          <w:sz w:val="18"/>
          <w:szCs w:val="18"/>
          <w:color w:val="auto"/>
        </w:rPr>
      </w:pPr>
    </w:p>
    <w:p>
      <w:pPr>
        <w:ind w:left="640" w:hanging="328"/>
        <w:spacing w:after="0"/>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U.K. Bribery Act 2010; and</w:t>
      </w:r>
    </w:p>
    <w:p>
      <w:pPr>
        <w:spacing w:after="0" w:line="130" w:lineRule="exact"/>
        <w:rPr>
          <w:rFonts w:ascii="Arial" w:cs="Arial" w:eastAsia="Arial" w:hAnsi="Arial"/>
          <w:sz w:val="18"/>
          <w:szCs w:val="18"/>
          <w:color w:val="auto"/>
        </w:rPr>
      </w:pPr>
    </w:p>
    <w:p>
      <w:pPr>
        <w:ind w:left="640" w:right="560" w:hanging="328"/>
        <w:spacing w:after="0" w:line="277" w:lineRule="auto"/>
        <w:tabs>
          <w:tab w:leader="none" w:pos="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left="200" w:right="360" w:firstLine="441"/>
        <w:spacing w:after="0" w:line="259"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the business. Moreover, we expect that there will continue to be federal and state laws and regulations, proposed and implemented, that could impact our future operations and business.</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the United States and foreign jurisdictions, there have been a number of legislative and regulatory changes and proposed changes regarding the healthcare system that could prevent or delay marketing approval of our investigational medicines, restrict or regulate post-approval activities, and affect our ability to profitably sell any investigational medicines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w:t>
      </w:r>
    </w:p>
    <w:p>
      <w:pPr>
        <w:spacing w:after="0" w:line="173"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The ACA, for example, contains provisions that subject biological products to potential competition by lower-cost biosimilars and may reduce the profitability of drug products through increased rebates for drugs reimbursed by Medicaid programs, extension of Medicaid rebates to Medicaid-managed care plans, mandatory discounts for certain Medicare Part D beneficiaries, and annual fees based on pharmaceutical companies’ share of sales to federal health care programs. With the current presidential administration and Congress, there may be additional administrative or legislative changes, including modification, repeal or replacement of all, or certain provisions of, the ACA, which may impact reimbursement for drugs and biologics. On January 20, 2017, an Executive Order was signed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October 13, 2017, an executive order was signed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this year designed to repeal or repeal and replace portions of the ACA. While Congress has not passed repeal legislation, the TCJA includes a provision repealing the tax-based shared responsibility payment imposed by the ACA on certain individuals who fail to maintain qualifying health coverage for all or part of a year that is commonly referred to as the “individual mandate.” Congress may consider other legislation to repeal and replace elements of the ACA. Litigation and legislation over the ACA are likely to continue, with unpredictable and uncertain results.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Additionally, other federal health reform measures have been proposed and adopted in the United States since the ACA was enacted:</w:t>
      </w:r>
    </w:p>
    <w:p>
      <w:pPr>
        <w:spacing w:after="0" w:line="142" w:lineRule="exact"/>
        <w:rPr>
          <w:sz w:val="20"/>
          <w:szCs w:val="20"/>
          <w:color w:val="auto"/>
        </w:rPr>
      </w:pPr>
    </w:p>
    <w:p>
      <w:pPr>
        <w:ind w:left="640" w:right="40" w:hanging="328"/>
        <w:spacing w:after="0" w:line="286" w:lineRule="auto"/>
        <w:tabs>
          <w:tab w:leader="none" w:pos="64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included aggregate reductions to Medicare payments to providers of up to 2% per fiscal year, which went into effect in April 2013 and will remain in effect through 2025 unless additional Congressional action is taken.</w:t>
      </w:r>
    </w:p>
    <w:p>
      <w:pPr>
        <w:spacing w:after="0" w:line="76" w:lineRule="exact"/>
        <w:rPr>
          <w:sz w:val="20"/>
          <w:szCs w:val="20"/>
          <w:color w:val="auto"/>
        </w:rPr>
      </w:pPr>
    </w:p>
    <w:p>
      <w:pPr>
        <w:ind w:left="640" w:right="340" w:hanging="328"/>
        <w:spacing w:after="0" w:line="277" w:lineRule="auto"/>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w:t>
      </w:r>
    </w:p>
    <w:p>
      <w:pPr>
        <w:spacing w:after="0" w:line="75" w:lineRule="exact"/>
        <w:rPr>
          <w:rFonts w:ascii="Arial" w:cs="Arial" w:eastAsia="Arial" w:hAnsi="Arial"/>
          <w:sz w:val="18"/>
          <w:szCs w:val="18"/>
          <w:color w:val="auto"/>
        </w:rPr>
      </w:pPr>
    </w:p>
    <w:p>
      <w:pPr>
        <w:ind w:left="640" w:hanging="328"/>
        <w:spacing w:after="0" w:line="264" w:lineRule="auto"/>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Middle Class Tax Relief and Job Creation Act of 2012 required that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w:t>
      </w:r>
    </w:p>
    <w:p>
      <w:pPr>
        <w:spacing w:after="0" w:line="18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Further,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products. In addition, the federal government, state legislatures and foreign governments have shown significant interest in implementing cost containment programs, including price-controls, restrictions on reimbursement, and requirements for substitution of generic products for branded prescription drugs to limit the growth of government-paid health care costs. For example, the federal government has passed legislation requiring pharmaceutical manufacturers to provide rebates and discounts to certain entities and governmental payors to participate in federal healthcare programs.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Packaging and Distribution in the United States</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If our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w:t>
      </w:r>
    </w:p>
    <w:p>
      <w:pPr>
        <w:spacing w:after="0" w:line="46" w:lineRule="exact"/>
        <w:rPr>
          <w:sz w:val="20"/>
          <w:szCs w:val="20"/>
          <w:color w:val="auto"/>
        </w:rPr>
      </w:pPr>
    </w:p>
    <w:p>
      <w:pPr>
        <w:ind w:left="420" w:hanging="216"/>
        <w:spacing w:after="0"/>
        <w:tabs>
          <w:tab w:leader="none" w:pos="4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changes to our manufacturing arrangements, (ii) additions or modifications to product labeling, (iii) the recall or discontinuation of our products or</w:t>
      </w:r>
    </w:p>
    <w:p>
      <w:pPr>
        <w:spacing w:after="0" w:line="32" w:lineRule="exact"/>
        <w:rPr>
          <w:rFonts w:ascii="Arial" w:cs="Arial" w:eastAsia="Arial" w:hAnsi="Arial"/>
          <w:sz w:val="16"/>
          <w:szCs w:val="16"/>
          <w:color w:val="auto"/>
        </w:rPr>
      </w:pPr>
    </w:p>
    <w:p>
      <w:pPr>
        <w:ind w:left="500" w:hanging="296"/>
        <w:spacing w:after="0"/>
        <w:tabs>
          <w:tab w:leader="none" w:pos="50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additional record-keeping requirements. If any such changes were to be imposed, they could adversely affect the operation of our business.</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Environmental, Health and Safety Laws and Regulations</w:t>
      </w:r>
    </w:p>
    <w:p>
      <w:pPr>
        <w:spacing w:after="0" w:line="117"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We maintain workers’ compensation employers’ liability insurance to cover us for costs and expenses we may incur due to injuries to our employees, but this insurance may not provide adequate coverage against potential liabilities.</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326"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b w:val="1"/>
          <w:bCs w:val="1"/>
          <w:color w:val="auto"/>
        </w:rPr>
        <w:t>XVI.</w:t>
      </w:r>
      <w:r>
        <w:rPr>
          <w:sz w:val="20"/>
          <w:szCs w:val="20"/>
          <w:color w:val="auto"/>
        </w:rPr>
        <w:tab/>
      </w:r>
      <w:r>
        <w:rPr>
          <w:rFonts w:ascii="Arial" w:cs="Arial" w:eastAsia="Arial" w:hAnsi="Arial"/>
          <w:sz w:val="16"/>
          <w:szCs w:val="16"/>
          <w:b w:val="1"/>
          <w:bCs w:val="1"/>
          <w:color w:val="auto"/>
        </w:rPr>
        <w:t>Intellectual Property</w:t>
      </w:r>
    </w:p>
    <w:p>
      <w:pPr>
        <w:spacing w:after="0" w:line="131" w:lineRule="exact"/>
        <w:rPr>
          <w:sz w:val="20"/>
          <w:szCs w:val="20"/>
          <w:color w:val="auto"/>
        </w:rPr>
      </w:pPr>
    </w:p>
    <w:p>
      <w:pPr>
        <w:ind w:left="1180" w:hanging="544"/>
        <w:spacing w:after="0"/>
        <w:tabs>
          <w:tab w:leader="none" w:pos="11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pursue a layered intellectual property strategy to protect our various technology platforms and their application to the treatment of cancer and other serious diseases. One focus of our intellectual property strategy is to provide protection for our platforms and product candidates currently in development. We also pursue intellectual property protection for assets that may be used in future development programs and/or that may be of interest to our collaborators, or otherwise may prove valuable in the field.</w:t>
      </w:r>
    </w:p>
    <w:p>
      <w:pPr>
        <w:spacing w:after="0" w:line="18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Various aspects of our technology platforms and our product candidates are claimed by patent filings. We also pursue other modalities of protection, including trademark and trade secret protection, as appropriate. Many of our intellectual property assets were developed and are owned solely by us, some have been developed via collaboration and are jointly owned, and some have been acquired by acquisition and/or licensed from third parties. We expect that we will continue to make additional patent application filings, and will continue to pursue opportunities to acquire and license additional intellectual property assets, technologies, platforms or product candidates, as developments arise or are identified.</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Regardless, given the early stage of development of our product candidates, we cannot be certain that any of the patent filings or other intellectual property rights that we have pursued or obtained will provide protection for any product candidates that may ultimately be commercialized. Our most advanced product candidates are currently in clinical testing, with no certainty that they will be successful, or that significant modification or adjustment may not be required for successful commercialization.</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future commercial success depends, in part, on our ability to obtain and maintain patent and other proprietary protection for commercially important technology, inventions and know-how related to our business; defend and enforce our patents and other intellectual property; preserve the confidentiality of our trade secrets; and operate without infringing, misappropriating or violating the valid and enforceable patents and other intellectual property rights of third parties. Our ability to stop third parties from making, using, selling, offering to sell or importing our products may depend on the extent to which we have rights under valid and enforceable patents, trade secrets or other intellectual property rights that cover these activities. With respect to both our owned and licensed intellectual property, we cannot be sure that patents will issue with respect to any of the</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80"/>
          </w:cols>
          <w:pgMar w:left="240" w:top="460"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owned or licensed pending patent applications or with respect to any patent applications that we, our co-owners or our licensors may file in the future, nor can we be sure that any of our owned or licensed patents or any patents that may be issued in the future to us or our licensors will be commercially useful in protecting any products that, we ultimately attempt to commercialize, or any method of making or using such products. Moreover, we may be unable to obtain patent protection for certain of our product candidates generally as well as with respect to certain indications. See “Risk Factors—Risks Related to our Intellectual Property” for a more comprehensive description of risks related to our intellectual property.</w:t>
      </w:r>
    </w:p>
    <w:p>
      <w:pPr>
        <w:spacing w:after="0" w:line="158"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As of August 30, 2019, our overall owned and in-licensed patent portfolio included more than 200 patent families, each of which includes at least one filing in the United States or Europe, and several of which are pending or granted in multiple jurisdictions. The patent families include at least 100 patent families that are solely or jointly owned by BioNTech, including certain families acquired through our acquisitions of antibody assets and infrastructure from MabVax Therapeutics Holdings, Inc., and the rest that we have licensed from a third party.</w:t>
      </w:r>
    </w:p>
    <w:p>
      <w:pPr>
        <w:spacing w:after="0" w:line="17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to which the patent claims priority). However, many jurisdictions, including the United States, require the payment of periodic maintenance fees in order for patents to remain in force for the full 20-year term. The United States also has provisions that require a patent term to be shortened if its claims are too similar to another patent owned by the same party that has a shorter term. The United States and certain other jurisdictions also have provisions that permit extension of patent term for patents that claim a drug or drug product, or its approved use, if the patent was issued before clinical trials were completed and certain other requirements were satisfied. In the United States, such extension is called a Patent Term Extension, or PTE, and it is limited to a period of not more than five years, or the total patent term including the PTE cannot exceed 14 years after the date of regulatory approval; only one patent can be extended per product approval. The United States also offers a different form of patent term extension, known as Patent Term Adjustment, or PTA, whereby a particular patent’s term is automatically extended beyond the 20-year date if the United States Patent and Trademark Office, or the USPTO, caused delay during its examination; however, potentially available PTA is reduced by any amount of any delay caused by the patent applicant.</w:t>
      </w:r>
    </w:p>
    <w:p>
      <w:pPr>
        <w:spacing w:after="0" w:line="16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Below, we provide a summary of the contours of our current patent portfolio as it relates to different aspects of relevant technology, including noting ownership and 20-year terms for filings included in the portfolio that are directed to such aspects. Particularly given our pre-commercial state of development, we cannot be certain that any of the patent filings in our portfolio will provide meaningful protection for any product we ultimately attempt to commercialize.</w:t>
      </w:r>
    </w:p>
    <w:p>
      <w:pPr>
        <w:spacing w:after="0" w:line="331" w:lineRule="exact"/>
        <w:rPr>
          <w:sz w:val="20"/>
          <w:szCs w:val="20"/>
          <w:color w:val="auto"/>
        </w:rPr>
      </w:pPr>
    </w:p>
    <w:p>
      <w:pPr>
        <w:ind w:left="1180" w:hanging="544"/>
        <w:spacing w:after="0"/>
        <w:tabs>
          <w:tab w:leader="none" w:pos="11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Patent Portfolio</w:t>
      </w:r>
    </w:p>
    <w:p>
      <w:pPr>
        <w:spacing w:after="0" w:line="12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patent portfolios for our most advanced programs as of August 30, 2019 are summarized below. Patent prosecution is a lengthy process, during which the scope of the claims initially submitted for examination by the USPTO and its foreign equivalents can be significantly narrowed by the time they issue, if they issue at all. We expect this could be the case with respect to some of our pending patent applications referred to below.</w:t>
      </w:r>
    </w:p>
    <w:p>
      <w:pPr>
        <w:spacing w:after="0" w:line="295" w:lineRule="exact"/>
        <w:rPr>
          <w:sz w:val="20"/>
          <w:szCs w:val="20"/>
          <w:color w:val="auto"/>
        </w:rPr>
      </w:pPr>
    </w:p>
    <w:p>
      <w:pPr>
        <w:ind w:left="1620" w:hanging="430"/>
        <w:spacing w:after="0"/>
        <w:tabs>
          <w:tab w:leader="none" w:pos="1620" w:val="left"/>
        </w:tabs>
        <w:numPr>
          <w:ilvl w:val="0"/>
          <w:numId w:val="2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mRNA</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patent portfolio for our mRNA therapeutic platforms and product candidates includes patent filings directed to features of therapeutic mRNA structures, some of which are included in current development candidates. Our patent portfolio also includes patent filings directed to mRNA formulations, including the lipoplex formulations currently utilized with our FixVac and iNeST platforms, and the lipid nanoparticles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currently utilized with our RiboMab and RiboCytokine platforms, as well as patent filings directed to mRNA manufacturing, and to uses of mRNA therapeutics. We provide more detail below regarding the patent filings directed to these features.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mRNA Structure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patent portfolio includes patent filings directed to various features of mRNA structure, which may, for example, contribute to increased immunogenicity (</w:t>
      </w:r>
      <w:r>
        <w:rPr>
          <w:rFonts w:ascii="Arial" w:cs="Arial" w:eastAsia="Arial" w:hAnsi="Arial"/>
          <w:sz w:val="17"/>
          <w:szCs w:val="17"/>
          <w:i w:val="1"/>
          <w:iCs w:val="1"/>
          <w:color w:val="auto"/>
        </w:rPr>
        <w:t>e.g</w:t>
      </w:r>
      <w:r>
        <w:rPr>
          <w:rFonts w:ascii="Arial" w:cs="Arial" w:eastAsia="Arial" w:hAnsi="Arial"/>
          <w:sz w:val="17"/>
          <w:szCs w:val="17"/>
          <w:color w:val="auto"/>
        </w:rPr>
        <w:t>., antigen presentation), translation efficiency, and/or stability of mRNA constructs that include them. Such features include, for example, antigen-MHC fusions, 5’ cap structures, 3’ UTR structures, polyA tails and reduced-uracil content mRNAs. Filings directed to each of these features, or collectively, the mRNA Structure Filings, have been made in the United States and various foreign jurisdictions. Some such mRNA Structure Filings are owned solely by BioNTech SE or BioNTech RNA which are referred to collectively in this section as BioNTech, some jointly by BioNTech and one or more third parties, and some by BioNTech licensors, such as Louisiana State University, or LSU, and the terms of the applicable agreement with LSU, are further summarized below in “—C. In-Licensing.” Issued existing mRNA Structure Filings have, and pending existing mRNA Structure Filings, if issued, would have, 20-year terms that extend into the mid-2020s to the mid-2030s.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mRNA Formulations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patent portfolio includes patent filings directed to various formulations for mRNA delivery, some of which are utilized with current development candidates. For example, our portfolio includes patent filings directed to lipoplex formulations, with 20-year terms that extend into 2038, if issued, or collectively, the mRNA Lipoplex Filings, although none of these filings is currently an issued patent. Such mRNA Lipoplex Filings are solely owned by BioNTech RNA.</w:t>
      </w:r>
    </w:p>
    <w:p>
      <w:pPr>
        <w:spacing w:after="0" w:line="187" w:lineRule="exact"/>
        <w:rPr>
          <w:sz w:val="20"/>
          <w:szCs w:val="20"/>
          <w:color w:val="auto"/>
        </w:rPr>
      </w:pPr>
    </w:p>
    <w:p>
      <w:pPr>
        <w:ind w:left="200" w:right="400" w:firstLine="441"/>
        <w:spacing w:after="0" w:line="297" w:lineRule="auto"/>
        <w:rPr>
          <w:sz w:val="20"/>
          <w:szCs w:val="20"/>
          <w:color w:val="auto"/>
        </w:rPr>
      </w:pPr>
      <w:r>
        <w:rPr>
          <w:rFonts w:ascii="Arial" w:cs="Arial" w:eastAsia="Arial" w:hAnsi="Arial"/>
          <w:sz w:val="16"/>
          <w:szCs w:val="16"/>
          <w:color w:val="auto"/>
        </w:rPr>
        <w:t>In addition, our portfolio includes U.S. and foreign patent filings directed to lipid nanoparticles and polyplex technologies, which are jointly owned by BioNTech RNA and TRON, or collectively, the mRNA Lipid Nanoparticle/Polyplex Filings. Issued mRNA Lipid Nanoparticle/Polyplex Filings have, and pending mRNA Lipid Nanoparticle/Polyplex Filings, if issued, would have, 20 year terms that extend into the mid- to late-2030s. Some such mRNA Lipid Nanoparticle/Polyplex Filings were granted in certain foreign jurisdictions, but do not currently include any U.S. issued patents. The terms of the co-ownership of such patent filings with TRON are summarized below in “—C. In-Licensing.”</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mRNA Manufacturing</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discussed below, we utilize trade secret protection for many aspects of our mRNA manufacturing technologies, including as currently utilized for production of certain of our development candidates. In addition, our patent portfolio includes certain patent filings relevant to mRNA manufacturing, or collectively, the mRNA Manufacturing Filings, which we believe may provide commercial value to protect product candidates and/or support collaborations or other licensing arrangements. For example, our mRNA Manufacturing Filings include U.S. and foreign patent filings relating to certain aspects of mRNA purification and production. These mRNA Manufacturing Filings are either solely owned by BioNTech RNA, or jointly owned by BioNTech RNA and TRON and, if issued, would have 20-year terms that would extend into mid to late 2030s, although none is currently an issued patent.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mRNA Product Candidates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most advanced mRNA product candidate development programs are in oncology and involve various platforms. Our pipeline also includes mRNA product candidates for treatment of certain infectious diseases and mRNA product candidates for protein replacement therapy in certain rare diseases.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00"/>
          </w:cols>
          <w:pgMar w:left="240" w:top="460"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Oncology mRNA Product Candidates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current clinical programs are all in oncology. The most advanced involve iNeST immunotherapy product candidates being developed with our collaborator, Genentech. We also have FixVac product candidates in Phase 1 clinical trials, and have recently initiated Phase 1 clinical trials of our mRNA-based intratumoral immunotherapy developed through our collaboration with Sanofi.</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FixVac</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Our FixVac product candidates share many of the structural elements involved in our iNeST product candidates. Thus, some or all of the mRNA Structure Filings relevant to our iNeST product candidates and discussed above are also relevant to our FixVac product candidates. These patent filings, or the FixVac Platform Filings, include mRNA Structure Filings relating to antigen-MHC fusions, phosphorothioate stabilized 5’ cap structures, 3’ UTR structures containing a specific sequence element, and interrupted polyA tails, which are solely or jointly owned by BioNTech or BioNTech’s licensors. Issued FixVAC Platform Filings have, and pending FixVac Platform Filings, if issued, would have, 20-year terms extending into the mid-2020s to the mid-2030s. While we have pursued or obtained patent protection covering components of FixVac product candidates, manufacturing-related methods and/or formulations, we do not currently have any claims in our owned or in-licensed issued patents that cover the overall construct used in our FixVac product candidates.</w:t>
      </w:r>
    </w:p>
    <w:p>
      <w:pPr>
        <w:spacing w:after="0" w:line="17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patent portfolio further includes U.S. and foreign patent filings relating to combined uses of our FixVac and iNeST product candidates. Such issued patent filings have, and such pending patent filings, if issued, would have, 20-year terms that extend into 2033, and are jointly owned by BioNTech RNA and TRON.</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Our current Phase 1 clinical trials for FixVac product candidates are studying such product candidates in treatment of advanced melanoma, head and neck cancer, and breast cancer (particularly triple negative breast cancer). While we do not currently have any claims in our owned or in-licensed issued patents that are directed to use of our FixVac product candidates in the indications of these clinical trials, certain FixVac Platform Filings include specific reference to treatment of each of these indications. Additionally, our patent portfolio relevant to FixVac product candidates further includes U.S. and foreign patent filings relating to use of particular tumor antigens for treatment of triple negative breast cancer included in Phase 1 clinical trials, or the Triple Negative Breast Cancer FixVAC Filings. Issued Triple Negative Breast Cancer FixVac Filings have, and pending Triple Negative Breast Cancer FixVac Filings, if issued, would have, 20-year terms that extend into 2034, and are jointly owned by BioNTech SE and TRON.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iNeST</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Our patent filings relevant to our iNeST product candidates include mRNA Structure Filings relating to features for increasing antigen presentation (</w:t>
      </w:r>
      <w:r>
        <w:rPr>
          <w:rFonts w:ascii="Arial" w:cs="Arial" w:eastAsia="Arial" w:hAnsi="Arial"/>
          <w:sz w:val="18"/>
          <w:szCs w:val="18"/>
          <w:i w:val="1"/>
          <w:iCs w:val="1"/>
          <w:color w:val="auto"/>
        </w:rPr>
        <w:t>e.g</w:t>
      </w:r>
      <w:r>
        <w:rPr>
          <w:rFonts w:ascii="Arial" w:cs="Arial" w:eastAsia="Arial" w:hAnsi="Arial"/>
          <w:sz w:val="18"/>
          <w:szCs w:val="18"/>
          <w:color w:val="auto"/>
        </w:rPr>
        <w:t>., antigen-MHC fusions) and features for increasing translation efficiency and/or stability of mRNA constructs (</w:t>
      </w:r>
      <w:r>
        <w:rPr>
          <w:rFonts w:ascii="Arial" w:cs="Arial" w:eastAsia="Arial" w:hAnsi="Arial"/>
          <w:sz w:val="18"/>
          <w:szCs w:val="18"/>
          <w:i w:val="1"/>
          <w:iCs w:val="1"/>
          <w:color w:val="auto"/>
        </w:rPr>
        <w:t>e.g.</w:t>
      </w:r>
      <w:r>
        <w:rPr>
          <w:rFonts w:ascii="Arial" w:cs="Arial" w:eastAsia="Arial" w:hAnsi="Arial"/>
          <w:sz w:val="18"/>
          <w:szCs w:val="18"/>
          <w:color w:val="auto"/>
        </w:rPr>
        <w:t>, phosphorothioate stabilized 5’ cap structures, 3’ UTR structures containing a specific sequence element, and polyA tails of a particular length or interrupted polyA tails); mRNA Lipoplex Filings relating to negatively charged lipoplexes (</w:t>
      </w:r>
      <w:r>
        <w:rPr>
          <w:rFonts w:ascii="Arial" w:cs="Arial" w:eastAsia="Arial" w:hAnsi="Arial"/>
          <w:sz w:val="18"/>
          <w:szCs w:val="18"/>
          <w:i w:val="1"/>
          <w:iCs w:val="1"/>
          <w:color w:val="auto"/>
        </w:rPr>
        <w:t>e.g</w:t>
      </w:r>
      <w:r>
        <w:rPr>
          <w:rFonts w:ascii="Arial" w:cs="Arial" w:eastAsia="Arial" w:hAnsi="Arial"/>
          <w:sz w:val="18"/>
          <w:szCs w:val="18"/>
          <w:color w:val="auto"/>
        </w:rPr>
        <w:t>., for spleen targeting); and mRNA Manufacturing Filings, or collectively, the iNeST mRNA Platform Filings. While we have pursued or obtained patent protection covering components of iNeST product candidates, manufacturing-related methods and/or formulations, we do not currently have any claims in our owned or in-licensed issued patents that cover the overall construct used in our iNeST product candidates.</w:t>
      </w:r>
    </w:p>
    <w:p>
      <w:pPr>
        <w:spacing w:after="0" w:line="18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patent portfolio further includes U.S. and foreign filings directed to the process of identifying neoantigens in patient samples and/or predicting those that will be immunoreactive in an iNeST immunotherapy product, or collectively, the Neoantigen Filings. Certain issued Neoantigen Filings have, and certain pending Neoantigen Filings, if issued, would have 20-year terms that extend into the mid- to late-2030s, although none is a U.S. issued patent. The Neoantigen Filings are solely owned by BioNTech RNA, or jointly owned by BioNTech RNA and TRON.</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are currently studying our iNeST product candidates for the treatment of metastatic melanoma in Phase 2 clinical trials and those for the treatment of various solid tumors in Phase 1 clinical trials. Certain iNeST mRNA Platform Filings and Neoantigen Filings cover treatment of each of these indications. However, we do not currently have any claims in our owned or in-licensed issued patents that are directed to use of iNeST product candidates in the indications of these clinical trials.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Intratumoral Immunotherapies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Certain of the mRNA Structure Filings (including some that are relevant to iNeST and/or FixVac product candidates, as discussed above) are also directed to one or more features of our intratumoral immunotherapies, including our most advanced intratumoral immunotherapy, which we are developing through our collaboration with Sanofi, and which has recently entered Phase 1 clinical trials. For example, mRNA Structure Filings relating to 3’ UTR structures containing a specific sequence element, interrupted polyA tail structures, and reduced-uracil content mRNAs, which, as noted above are solely or jointly owned by BioNTech and, if issued, would have 20-year terms extending into the mid-2030s, provide protection to our current intratumoral immunotherapy development candidate. However, these filings do not currently include any issued patents.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have also obtained third-party licenses to technologies relating to certain features of the mRNA structure relevant to the intratumoral immunotherapies. These include two non-exclusive sublicenses—one from mRNA RiboTherapeutics, Inc., or MRT, and one from its affiliate CellScript, LLC (these licenses, together, the MRT-CellScript Sublicenses). MRT-CellScript Sublicenses allow us to use, make and/or sell nucleoside-modified mRNA products that are covered by U.S. and European Patent Office patent filings owned by the Trustees of the University of Pennsylvania, or the Penn Modified RNA Patent Rights, which sublicenses are further summarized below in “—C. In-Licensing.”</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Additionally, certain patent filings have arisen from our collaboration relating to compositions including mRNAs encoding particular cytokines for treatment of solid tumors, or the mRNA Cytokine Filings. Such mRNA Cytokine Filings, if issued, would have 20-year terms that would extend into 2038. However, these filings do not currently include any issued patents.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RiboMabs and RiboCytokines</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own or license a number of patent filings directed to our RiboMab and RiboCytokine programs. Many are owned solely by us, some are jointly owned, and some have been acquired or licensed.</w:t>
      </w:r>
    </w:p>
    <w:p>
      <w:pPr>
        <w:spacing w:after="0" w:line="17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Patent filings relevant to our RiboMab and RiboCytokine programs include certain mRNA Structure Filings relevant to our iNeST and/or FixVac product candidates, specifically relating to 3’ UTR structures containing a specific sequence element, interrupted polyA tail structures, and reduced-uracil content mRNAs; mRNA Lipid Nanoparticle/Polyplex Filings; and patent filings under the MRT-CellScript Sublicenses relating to nucleoside-modified mRNAs.</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have also recently acquired patent assets from MabVax Therapeutics, or the MabVax Filings, that relate to various antibodies, including certain antibodies targeting sialyl Lewis A and ganglioside GD2, as well as nucleic acid encoding them. Issued MabVax Filings have, and the pending MabVax Filings, if issued, would have, 20-year terms that extend into the mid-2030s.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Infectious Diseases</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As is discussed elsewhere in this prospectus, we have collaborated with third parties, including Pfizer and Penn, to develop infectious disease mRNA vaccines.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Certain patent filings that might be useful to our infectious disease mRNA vaccines include certain of the mRNA Structure Filings and the mRNA Lipid Nanoparticle/Polyplex Filings.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Rare Diseases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developing mRNA-based protein replacement therapy for several rare disease indications through our collaboration with Genevant.</w:t>
      </w:r>
    </w:p>
    <w:p>
      <w:pPr>
        <w:spacing w:after="0" w:line="237" w:lineRule="exact"/>
        <w:rPr>
          <w:sz w:val="20"/>
          <w:szCs w:val="20"/>
          <w:color w:val="auto"/>
        </w:rPr>
      </w:pPr>
    </w:p>
    <w:p>
      <w:pPr>
        <w:ind w:left="200" w:right="360" w:firstLine="441"/>
        <w:spacing w:after="0" w:line="255" w:lineRule="auto"/>
        <w:rPr>
          <w:sz w:val="20"/>
          <w:szCs w:val="20"/>
          <w:color w:val="auto"/>
        </w:rPr>
      </w:pPr>
      <w:r>
        <w:rPr>
          <w:rFonts w:ascii="Arial" w:cs="Arial" w:eastAsia="Arial" w:hAnsi="Arial"/>
          <w:sz w:val="18"/>
          <w:szCs w:val="18"/>
          <w:color w:val="auto"/>
        </w:rPr>
        <w:t>Certain of the mRNA Structure Filings (including some that are relevant to iNeST and/or FixVac product candidates, as discussed above) and patent filings under the CellScript Licenses include patent filings directed to nucleoside-modified mRNAs also provide protection for one or more features of mRNA-based protein replacement product candidates. For example, mRNA Structure Filings include patent filings directed to 3’ UTR structures containing a specific sequence element, interrupted poly A tail structures and reduced-uracil content mRNAs, which, as noted above are solely or jointly owned by BioNTech, and, if issued, would have 20-year terms that would extend into the mid-2030s. However, these filings do not currently include any issued patents.</w:t>
      </w:r>
    </w:p>
    <w:p>
      <w:pPr>
        <w:spacing w:after="0" w:line="19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patent portfolio relating to our rare disease programs also include certain patent filings that we have licensed from Genevant, or the Genevant Filings. Specifically, the Genevant Filings are owned by Arbutus Biopharma Corporation, which is a Genevant affiliate, and relate primarily to lipid or non-liposomal formulations that might be useful in these programs, and have been filed primarily in the U.S. and Europe, with 20-year terms that extend into mid-2020s to mid-2030s for the issued Genevant Filings and the pending Genevant Filings, if issued.</w:t>
      </w:r>
    </w:p>
    <w:p>
      <w:pPr>
        <w:spacing w:after="0" w:line="320" w:lineRule="exact"/>
        <w:rPr>
          <w:sz w:val="20"/>
          <w:szCs w:val="20"/>
          <w:color w:val="auto"/>
        </w:rPr>
      </w:pPr>
    </w:p>
    <w:p>
      <w:pPr>
        <w:ind w:left="1620" w:hanging="430"/>
        <w:spacing w:after="0"/>
        <w:tabs>
          <w:tab w:leader="none" w:pos="1620" w:val="left"/>
        </w:tabs>
        <w:numPr>
          <w:ilvl w:val="0"/>
          <w:numId w:val="2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Engineered Cell Therapy</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engineered cell therapy product class features use of chimeric antigen receptor, or CAR-, T cell or individualized T cell receptors for oncology therapy. Our patent filings relevant to these platforms and product candidates, or the CAR T/TCR Filings, are generally co-owned by BioNTech Cell &amp; Gene Therapies GmbH, or BioNTech C&amp;GT, and TRON. For example, the CAR T/TCR Filings include patent filings directed to various CAR T formats and methods of enhancing CAR-T cells by nucleic acid vaccination, as well as patent filings directed to processes of identifying and/or making individualized T cell receptors. The CAR T/TCR Patent Filings, if issued, would have 20-year terms that would extend into the mid- to late-2030s. However, these filings do not currently include any issued patents.</w:t>
      </w:r>
    </w:p>
    <w:p>
      <w:pPr>
        <w:spacing w:after="0" w:line="17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Certain CAR T programs involve CAR-T cell product candidates that target different members of the claudin family. Our patent portfolio includes certain patent filings specifically relevant to our claudin-specific CAR-T cell product candidates and are jointly owned by BioNTech C&amp;GT, TRON and Ganymed, or the Claudin-Specific CAR-T Cell Filings. The issued Claudin-Specific CAR-T Cell Filings have, and the pending Claudin-Specific CAR-T Cell Filings, if issued, would have, 20-year terms extending into the mid-2030s. However, these filings do not currently include any U.S. issued patents. The terms of our co-ownership of such patent filings with TRON and Ganymed are summarized below in “—C. In-Licensing.”</w:t>
      </w:r>
    </w:p>
    <w:p>
      <w:pPr>
        <w:spacing w:after="0" w:line="307" w:lineRule="exact"/>
        <w:rPr>
          <w:sz w:val="20"/>
          <w:szCs w:val="20"/>
          <w:color w:val="auto"/>
        </w:rPr>
      </w:pPr>
    </w:p>
    <w:p>
      <w:pPr>
        <w:ind w:left="1620" w:hanging="430"/>
        <w:spacing w:after="0"/>
        <w:tabs>
          <w:tab w:leader="none" w:pos="1620" w:val="left"/>
        </w:tabs>
        <w:numPr>
          <w:ilvl w:val="0"/>
          <w:numId w:val="2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Antibodies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antibodies product class features bispecific checkpoint immunomodulators for oncology therapy, which are developed through collaboration with Genmab. Our development candidates include bispecific antibodies that are designed to activate 4-1BB upon simultaneous binding to PD-L1 or CD-40. Our patent portfolio includes certain patent filings relevant to such bispecific antibodies, or the Bispecific Checkpoint Modulator Filings, co-owned by us and Genmab. Such Bispecific Checkpoint Modulator Filings, if issued, would have 20-year terms that would extend into the late-2030s and do not currently include any issued patents.</w:t>
      </w:r>
    </w:p>
    <w:p>
      <w:pPr>
        <w:spacing w:after="0" w:line="337" w:lineRule="exact"/>
        <w:rPr>
          <w:sz w:val="20"/>
          <w:szCs w:val="20"/>
          <w:color w:val="auto"/>
        </w:rPr>
      </w:pPr>
    </w:p>
    <w:p>
      <w:pPr>
        <w:ind w:left="1620" w:hanging="430"/>
        <w:spacing w:after="0"/>
        <w:tabs>
          <w:tab w:leader="none" w:pos="1620" w:val="left"/>
        </w:tabs>
        <w:numPr>
          <w:ilvl w:val="0"/>
          <w:numId w:val="2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Small Molecule Immunomodulators</w:t>
      </w:r>
    </w:p>
    <w:p>
      <w:pPr>
        <w:spacing w:after="0" w:line="11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Our small molecule therapeutics product class features oncology treatment using small molecule product candidates that activate the immune system via TLR7 agonism. Our patent portfolio includes patent filings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00"/>
          </w:cols>
          <w:pgMar w:left="240" w:top="460"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relevant to these TLR7 agonists, or the TLR7 Agonist Filings. Certain TLR7 Agonist Filings are directed to substituted imidazoquinolines, and, if issued, would have 20-year terms that would extend into the late 2030s. However, these filings do not currently include any issued patents.</w:t>
      </w:r>
    </w:p>
    <w:p>
      <w:pPr>
        <w:spacing w:after="0" w:line="268" w:lineRule="exact"/>
        <w:rPr>
          <w:sz w:val="20"/>
          <w:szCs w:val="20"/>
          <w:color w:val="auto"/>
        </w:rPr>
      </w:pPr>
    </w:p>
    <w:p>
      <w:pPr>
        <w:ind w:left="1180" w:hanging="544"/>
        <w:spacing w:after="0"/>
        <w:tabs>
          <w:tab w:leader="none" w:pos="118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In-Licensing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Some of our intellectual property assets have been acquired by acquisition and/or in-licensing.</w:t>
      </w:r>
    </w:p>
    <w:p>
      <w:pPr>
        <w:spacing w:after="0" w:line="22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have pursued a strategy of identifying and in-licensing third-party patents that we believe are complementary to or otherwise interact synergistically with our own intellectual property portfolio. We have entered into material intellectual property licensing or option arrangements with Penn, TRON, Louisiana State University and MRT-CellScript.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key terms of these arrangements are summarized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Penn Agreement</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October 2018, BioNTech RNA entered into a collaboration and license agreement with the Trustees of the University of Pennsylvania regarding the development and commercialization of certain mRNA vaccines and mRNA diagnostics for the diagnosis, detection, evaluation, prophylaxis and treatment of infectious diseases. We refer to this agreement as the Penn Agreement.</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Under the Penn Agreement, BioNTech RNA and Penn agree to collaborate with respect to research and development activities and are obligated to use commercially reasonable efforts to develop products that use formulated mRNAs encoding one or more immunogens for 10 disease indications in the field of infectious diseases (each, a Penn Product). Penn is responsible for all research and development work up to completion of studies enabling an IND as well as IND-supporting preclinical work, and BioNTech RNA is responsible for the manufacture of mRNA amounts to support the preclinical and IND-enabling studies. If a Penn Product developed under the research program achieves certain acceptance criteria for a specified indication, BioNTech RNA has the right to obtain an exclusive worldwide license under Penn’s patent rights (and a non-exclusive license under Penn’s know-how and materials) to research, develop, make, use or commercialize Penn Products in such indication. Under the Penn Agreement, Penn retains certain rights to conduct and authorize non-commercial third-party research, educational and patient care activities under any licensed intellectual property. Moreover, the license granted by Penn is subject to certain rights granted to the U.S. government in connection with government funding provided by the United States, including the requirement that products that result from intellectual property funded by the U.S. government that are sold in the United States be substantially manufactured in the United States.</w:t>
      </w:r>
    </w:p>
    <w:p>
      <w:pPr>
        <w:spacing w:after="0" w:line="18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BioNTech RNA has an obligation to use commercially reasonable efforts to clinically develop, obtain regulatory approval for and commercialize at least one Penn Product for each indication licensed under the Penn Agreement. Moreover, BioNTech RNA is obligated to achieve certain clinical and regulatory milestones within specified time periods, and its failure to do so would provide Penn the right to terminate the Penn Agreement on an indication-by-indication basis.</w:t>
      </w:r>
    </w:p>
    <w:p>
      <w:pPr>
        <w:spacing w:after="0" w:line="18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BioNTech RNA paid to Penn an upfront fee of $5 million to fund research activities and has agreed to pay Penn additional funds through quarterly payments, not to exceed an aggregate of $15 million, upon depletion of the previously advanced funds. Under the Penn Agreement, BioNTech RNA also agreed to pay Penn an annual alliance management fee. In addition, if any Penn Product is covered by a Penn patent, BioNTech RNA will pay to Penn development and commercialization milestone payments up to $44.4 million for each Penn Product licensed under this agreement and royalties in a low-single digit percentage on net sales of all Penn Products licensed under the Penn Agreement. Further, Penn will receive a percentage of any income from sublicenses BioNTech RNA grants to third parties, subject to certain caps set forth in the Penn Agreement.</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BioNTech RNA has the sole responsibility for and decision-making authority over clinical development and commercialization activities relating to any Penn Product arising from the collaboration. BioNTech RNA is also responsible for the manufacture of mRNA to support clinical development and commercialization efforts.</w:t>
      </w:r>
    </w:p>
    <w:p>
      <w:pPr>
        <w:spacing w:after="0" w:line="18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Penn Agreement remains in effect until the expiration of the last Penn patent covering any licensed Penn Product or developmental product candidate. BioNTech RNA may terminate the Penn Agreement for convenience in its entirety or on an indication-by-indication basis at any time after October 9, 2019 upon 90 days’ prior notice to Penn. The Penn Agreement also grants both parties termination rights for uncured material breaches, including for BioNTech RNA’s failure to achieve its obligations to achieve certain diligence milestones, and insolvency.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TRON Agreements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2015, we and our subsidiaries BioNTech RNA, BioNTech Diagnostics GmbH, BioNTech Protein Therapeutics GmbH, BioNTech Cell &amp; Gene Therapies GmbH, Eufets GmbH and JPT Peptide Technologies GmbH entered into a Master Agreement for Research Services with TRON. Concurrently with this Master Agreement for Research Services, or the TRON Research Agreement, we entered into a License Agreement with Ganymed, TRON, Johannes Gutenberg-Universität Mainz and Universitätsmedizin der Johannes Gutenberg-Universität Mainz, or the TRON License Agreement. The TRON Research Agreement and TRON License Agreement together replaced and superseded our 2008 Cooperation, Purchase and Licensing Agreement with the University Mainz, or the 2008 Cooperation Agreement. In 2019, we and our subsidiaries BioNTech RNA Pharmaceuticals GmbH, BioNTech Diagnostics GmbH, BioNTech Protein Therapeutics GmbH, BioNTech Cell &amp; Gene Therapies GmbH, BioNTech Innovative Manufacturing Services GmbH and JPT Peptide Technologies GmbH, entered into a Framework Collaboration Agreement with TRON, or the TRON Collaboration Agreement.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TRON Research Agreement</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TRON Research Agreement, TRON from time to time performs certain services for us under work orders, which may comprise innovative applied research projects, pre-defined research and development or clinical research services. We and TRON meet at regular intervals, but no less than annually, to prepare an overall non-binding project plan, which sets the scope, period and costs for the relevant projects contemplated for that period. Individual work orders set the specific binding terms of each project or service. TRON is obligated to render services in accordance with the scientific standards, all applicable laboratory and legal provisions and with the care customary in the industry.</w:t>
      </w:r>
    </w:p>
    <w:p>
      <w:pPr>
        <w:spacing w:after="0" w:line="173"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are entitled to the exclusive rights to all inventions, methods, specifications, materials, documents, data, know-how and other results (together, the Results) developed or discovered by TRON or by us and TRON jointly under the TRON Research Agreement, except to the extent they constitute improvements of the technologies applied by TRON in the relevant projects. Under the TRON Research Agreement, TRON granted us a non-exclusive, royalty-free license to use TRON Improvements if such TRON Improvements are necessary for the continued development and exploitation of the Results or the manufacture or marketing of products which contain any of the Results and are covered by a patent claiming any of the Results.</w:t>
      </w:r>
    </w:p>
    <w:p>
      <w:pPr>
        <w:spacing w:after="0" w:line="15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Under the TRON Research Agreement, TRON’s services rendered in the field of applied research are invoiced at cost. For other services, fixed prices are to be set forth in the individual work orders. TRON invoices us monthly and our payments are due no later than 10 days thereafter. Additionally, we are obligated to pay to TRON low single-digit tiered royalties on net sales of any product developed under the TRON Research Agreement that is covered by a patent claiming any of the Results.</w:t>
      </w:r>
    </w:p>
    <w:p>
      <w:pPr>
        <w:spacing w:after="0" w:line="187"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TRON Research Agreement limits each party’s liability to the other to intentional and grossly negligent actions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80"/>
          </w:cols>
          <w:pgMar w:left="240" w:top="460"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TRON Research Agreement has an indefinite term, but may be terminated by either party on six months’ notice. If one of our subsidiaries terminates its role in the TRON Research Agreement, the agreement will survive and continue without that subsidiary.</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November 2017, we and TRON entered into an agreement to include certain research and development activities regarding neoepitope RNA immunotherapies as work included in the TRON Research Agreement.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TRON License Agreement</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TRON License Agreement governs the ownership of and licenses under certain patents, inventions, know-how, technologies and other knowledge (together, the Development Results) filed and created before January 1, 2015 in the course of our collaboration with TRON, Johannes Gutenberg-Universität Mainz and Universitätsmedizin der Johannes Gutenberg-Universität Mainz (collectively, the University Parties) and Ganymed pursuant to the 2008 Cooperation Agreement.</w:t>
      </w:r>
    </w:p>
    <w:p>
      <w:pPr>
        <w:spacing w:after="0" w:line="18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TRON License Agreement sets forth the parties’ rights with respect to the Development Results, mainly depending on which parties have contributed to such Development Results. Ownership of the Development Results and any patents and other intellectual property in certain shares to TRON, on the one hand, and BioNTech and/or Ganymed, on the other hand included therein is allocated. Each party may assign its share in the co-owned Development Results to its affiliates provided that such party provide notice of the transfer and the identity of the new co-owner to the other co-owners. However, in case of an assignment of such share to a third party (except in case of a material asset sale), the assigning party must obligate the assignee to comply with the terms of the TRON License Agreement and the assigning party will remain bound by the obligations of the TRON License Agreement unless the other co-owners have consented to discharge the assigning party from such obligations.</w:t>
      </w:r>
    </w:p>
    <w:p>
      <w:pPr>
        <w:spacing w:after="0" w:line="16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The parties to the TRON License Agreement grant licenses to each other under their shares in the Development Results substantially as follows. Ganymed is exclusively entitled to use the Development Results for certain antibodies and antibody fragments that bind to certain defined targets, or the Ganymed Field of Use. We are exclusively entitled to use the Development Results in any other field of use (including immunological therapeutics, small molecule compounds, siRNA-based therapeutics, micro-proteins, antibody based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(except for those in the Ganymed Field of Use), diagnostics and therapeutics based on long-chain RNA as well as other cell therapy applications, immune cells transgenized with recombinant directed against certain defined targets or chimeric antigene receptors and RNA-based pharmaceuticals). The University Parties may use the Development Results for internal research purposes only. We have an obligation to use reasonable efforts to develop and commercialize products in our field of use worldwide.</w:t>
      </w:r>
    </w:p>
    <w:p>
      <w:pPr>
        <w:spacing w:after="0" w:line="19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TRON License Agreement, we and Ganymed must agree on which party will have the primary role in filing, prosecuting, maintaining and defending jointly owned patents. We and Ganymed each have the exclusive right to enforce the Development Results in our respective fields of use, subject to certain step-in rights of the other parties.</w:t>
      </w:r>
    </w:p>
    <w:p>
      <w:pPr>
        <w:spacing w:after="0" w:line="18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obligated to pay to the University Parties low single-digit tiered royalties on net sales on any product that is covered by certain of the patents including in the Development Results. If licenses are granted to third parties, we are obligated to pay to the University Parties a mid-single-digit share of all upfront payments, milestone payments and other remuneration we receive from such third parties in consideration for the license. Regarding upfront payments only, the University Parties’ share will be offset against subsequent license fees on net sales. In addition, we are obligated to pay certain development and regulatory milestones up to a low seven- figure amount to Johannes Gutenberg-Universität Mainz.</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TRON License Agreement contains a limitation on liability as between the parties, wherein the parties will only be liable to each other for intentional and grossly negligent actions, and, in the case of gross negligence,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80"/>
          </w:cols>
          <w:pgMar w:left="240" w:top="460"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liability for indirect and consequential damages and lost profits is excluded. We are obligated to indemnify the University Parties and Ganymed for third-party claims of product liability or violation of applicable law based on our distribution of our products or if we breach the TRON License Agreement or if we or one of our agents acts culpably.</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TRON License Agreement will remain in effect as long as there are any obligations on us or Ganymed to pay license fees. After expiry of the TRON License Agreement, each party will have a perpetual, non-exclusive, royalty-free license to use the Developments Results. The TRON License Agreement may be terminated by any party on six months’ notice. The licenses granted between the parties will survive such termination. The TRON License Agreement also grants all parties termination rights for uncured material breaches. If only one party terminates its role in the Agreement, the Agreement will survive and continue between the other parties.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TRON Collaboration Agreement</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TRON Collaboration Agreement, TRON from time to time undertakes certain projects in collaboration with us under separate project specific agreements, comprising innovative non-clinical research and development projects. We and TRON meet regularly to review and update project plans, and no less than annually to agree the budget for the on-going projects for the coming calendar year. Individual project agreements set the specific binding terms of each project. TRON is obligated to perform its obligations in accordance with the scientific standards, all applicable technical laboratory and legal provisions and with the care customary in the non-clinical biotechnology research industry.</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Except for the results of a particular research project which has been funded exclusively by TRON, or the RNT Project, all of the inventions, methods, specifications, materials, documents, data, know-how and other results (together, the Results) developed or discovered by TRON or by us and TRON jointly under the TRON Collaboration Agreement are jointly owned. The Results of the RNT Project are owned exclusively by TRON. Under the TRON Collaboration Agreement, TRON grants us an exclusive, worldwide, sublicensable license under its interest in the Results to research and have researched, develop and have developed, make and have made, use, and otherwise commercialize or have commercialized, and otherwise commercially exploit, products in a field that is specified in the corresponding project agreement. The field of use is either (a) the prophylaxis, diagnosis and treatment of all indications in humans and animals; (b) the prophylaxis, diagnosis and treatment of oncological diseases, infectious diseases and rare genetic diseases; or (c) in the case of the Results from the RNT Project only, the prophylaxis, diagnosis and treatment of rectal neuroendocrine tumors in humans. We are required to use our reasonable efforts to develop and commercialize products that exploit the Results.</w:t>
      </w:r>
    </w:p>
    <w:p>
      <w:pPr>
        <w:spacing w:after="0" w:line="16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Under the TRON Collaboration Agreement, TRON’s activities are invoiced at cost. TRON invoices us monthly and our payments are due no later than 10 days thereafter. Additionally, we are obligated to pay to TRON low single-digit tiered royalties on net sales of any product developed under the TRON Collaboration Agreement that is covered by a patent claiming any of the Results or, in certain circumstances, by a patentable invention forming part of the Results which we elect to maintain as a trade secret. If licenses under Results are granted to third parties, we are obligated to pay to TRON a mid-single-digit share of all upfront payments, milestone payments and other remuneration we receive from such third parties in consideration for the license. In addition, we are obligated to pay a one-time only milestone of a low seven-figure amount to TRON the first time annual sales of a product developed under the TRON Collaboration Agreement reach a low nine-figure number.</w:t>
      </w:r>
    </w:p>
    <w:p>
      <w:pPr>
        <w:spacing w:after="0" w:line="178"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TRON Collaboration Agreement limits each party’s liability to the other to cases of willful misconduct and gross negligence and, in the case of gross negligence, liability for indirect and consequential damages and lost profits is excluded. We are obligated to indemnify TRON for all product liability claims in connection with the products and for third-party claims asserting that the Results violate third-party intellectual property rights.</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TRON Collaboration Agreement came in to force with retroactive effect from January 2015 and has an indefinite term, but may be terminated by either party on nine months’ notice. If one of our subsidiaries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00"/>
          </w:cols>
          <w:pgMar w:left="240" w:top="460"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terminates its role in the TRON Collaboration Agreement, the agreement will survive and continue without that subsidiary.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LSU License Agreement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May 2015, we entered into a Patent License Agreement with the Board of Supervisors of Louisiana State University and Agricultural and Mechanical College, or LSU, and the University of Warsaw, or UW. The agreement (which we refer to as the LSU Agreement) replaces and supersedes the earlier license agreement between the parties.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Under the LSU Agreement, UW and LSU granted to us an exclusive royalty-bearing license under certain patent rights relating to mRNA cap analogs and the synthesis and use of anti-reverse phosphorothioate analogs of the mRNA cap in the United States, certain jurisdictions in the European Union and other countries. As consideration for the license granted, we are obligated to pay running royalties in the low single digits on all net sales of products utilizing the licensed patents and to pay annual maintenance fees to LSU.</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obligated to use commercially reasonable efforts to develop one or more marketable products utilizing the licensed patents, upon which we would owe additional milestone payments to LSU.</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LSU Agreement remains in effect until expiration of the licensed patents. We have the right to terminate the LSU Agreement for convenience with 60 days’ prior notice, and LSU and UW may terminate for our uncured material breach.</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CellScript and mRNA Ribotherapeutics License Agreement</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BioNTech RNA entered into the two MRT-CellScript Sublicenses discussed above. Together, the MRT-CellScript Sublicenses grant BioNTech RNA worldwide, non-exclusive sublicenses under the Penn Modified mRNA Patent Rights (as defined in the MRT-CellScript Sublicenses) to research, develop, make, import, use and commercialize products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uses in humans and non-human animals, including therapeutic and prophylactic applications, and for certain uses in the diagnostic and prognostic field of use and certain laboratory research or screening uses. Under these sublicenses, BioNTech RNA has the right to grant sublicenses to affiliates and third parties.</w:t>
      </w:r>
    </w:p>
    <w:p>
      <w:pPr>
        <w:spacing w:after="0" w:line="173"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BioNTech RNA must use reasonable efforts to develop and commercialize products under the sublicenses. Furthermore, BioNTech RNA is obliged to pay MRT and CellScript development milestone payments of up to approximately $26 million as well as royalties in the low to mid-single digits on net sales of licensed products, depending on the field of use.</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agreements continue until the expiration or abandonment of the last licensed patent to expire or be abandoned. BioNTech RNA may terminate the agreement for convenience with respect to all or certain patent rights with 60 days’ prior written notice. MRT or CellScript may terminate the respective sublicense agreement for payment default, uncured material breach or the bankruptcy of BioNTech RNA.</w:t>
      </w:r>
    </w:p>
    <w:p>
      <w:pPr>
        <w:spacing w:after="0" w:line="310" w:lineRule="exact"/>
        <w:rPr>
          <w:sz w:val="20"/>
          <w:szCs w:val="20"/>
          <w:color w:val="auto"/>
        </w:rPr>
      </w:pPr>
    </w:p>
    <w:p>
      <w:pPr>
        <w:ind w:left="1180" w:hanging="544"/>
        <w:spacing w:after="0"/>
        <w:tabs>
          <w:tab w:leader="none" w:pos="118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Trademark Portfolio</w:t>
      </w:r>
    </w:p>
    <w:p>
      <w:pPr>
        <w:spacing w:after="0" w:line="121" w:lineRule="exact"/>
        <w:rPr>
          <w:sz w:val="20"/>
          <w:szCs w:val="20"/>
          <w:color w:val="auto"/>
        </w:rPr>
      </w:pPr>
    </w:p>
    <w:p>
      <w:pPr>
        <w:ind w:left="200" w:right="220" w:firstLine="441"/>
        <w:spacing w:after="0" w:line="299" w:lineRule="auto"/>
        <w:rPr>
          <w:sz w:val="20"/>
          <w:szCs w:val="20"/>
          <w:color w:val="auto"/>
        </w:rPr>
      </w:pPr>
      <w:r>
        <w:rPr>
          <w:rFonts w:ascii="Arial" w:cs="Arial" w:eastAsia="Arial" w:hAnsi="Arial"/>
          <w:sz w:val="18"/>
          <w:szCs w:val="18"/>
          <w:color w:val="auto"/>
        </w:rPr>
        <w:t>Certain features of our business and our product candidates are protected by trademarks. Our trademark portfolio includes, but is not limited to, registrations for each of FixVac</w:t>
      </w:r>
      <w:r>
        <w:rPr>
          <w:rFonts w:ascii="Arial" w:cs="Arial" w:eastAsia="Arial" w:hAnsi="Arial"/>
          <w:sz w:val="15"/>
          <w:szCs w:val="15"/>
          <w:color w:val="auto"/>
        </w:rPr>
        <w:t>®</w:t>
      </w:r>
      <w:r>
        <w:rPr>
          <w:rFonts w:ascii="Arial" w:cs="Arial" w:eastAsia="Arial" w:hAnsi="Arial"/>
          <w:sz w:val="18"/>
          <w:szCs w:val="18"/>
          <w:color w:val="auto"/>
        </w:rPr>
        <w:t>, IVAC</w:t>
      </w:r>
      <w:r>
        <w:rPr>
          <w:rFonts w:ascii="Arial" w:cs="Arial" w:eastAsia="Arial" w:hAnsi="Arial"/>
          <w:sz w:val="15"/>
          <w:szCs w:val="15"/>
          <w:color w:val="auto"/>
        </w:rPr>
        <w:t>®</w:t>
      </w:r>
      <w:r>
        <w:rPr>
          <w:rFonts w:ascii="Arial" w:cs="Arial" w:eastAsia="Arial" w:hAnsi="Arial"/>
          <w:sz w:val="18"/>
          <w:szCs w:val="18"/>
          <w:color w:val="auto"/>
        </w:rPr>
        <w:t>, MammaTyper</w:t>
      </w:r>
      <w:r>
        <w:rPr>
          <w:rFonts w:ascii="Arial" w:cs="Arial" w:eastAsia="Arial" w:hAnsi="Arial"/>
          <w:sz w:val="15"/>
          <w:szCs w:val="15"/>
          <w:color w:val="auto"/>
        </w:rPr>
        <w:t>®,</w:t>
      </w:r>
      <w:r>
        <w:rPr>
          <w:rFonts w:ascii="Arial" w:cs="Arial" w:eastAsia="Arial" w:hAnsi="Arial"/>
          <w:sz w:val="18"/>
          <w:szCs w:val="18"/>
          <w:color w:val="auto"/>
        </w:rPr>
        <w:t xml:space="preserve"> RiboCytokine</w:t>
      </w:r>
      <w:r>
        <w:rPr>
          <w:rFonts w:ascii="Arial" w:cs="Arial" w:eastAsia="Arial" w:hAnsi="Arial"/>
          <w:sz w:val="15"/>
          <w:szCs w:val="15"/>
          <w:color w:val="auto"/>
        </w:rPr>
        <w:t>®</w:t>
      </w:r>
      <w:r>
        <w:rPr>
          <w:rFonts w:ascii="Arial" w:cs="Arial" w:eastAsia="Arial" w:hAnsi="Arial"/>
          <w:sz w:val="18"/>
          <w:szCs w:val="18"/>
          <w:color w:val="auto"/>
        </w:rPr>
        <w:t xml:space="preserve"> and RiboMab</w:t>
      </w:r>
      <w:r>
        <w:rPr>
          <w:rFonts w:ascii="Arial" w:cs="Arial" w:eastAsia="Arial" w:hAnsi="Arial"/>
          <w:sz w:val="15"/>
          <w:szCs w:val="15"/>
          <w:color w:val="auto"/>
        </w:rPr>
        <w:t>®</w:t>
      </w:r>
      <w:r>
        <w:rPr>
          <w:rFonts w:ascii="Arial" w:cs="Arial" w:eastAsia="Arial" w:hAnsi="Arial"/>
          <w:sz w:val="18"/>
          <w:szCs w:val="18"/>
          <w:color w:val="auto"/>
        </w:rPr>
        <w:t>.</w:t>
      </w:r>
    </w:p>
    <w:p>
      <w:pPr>
        <w:spacing w:after="0" w:line="277" w:lineRule="exact"/>
        <w:rPr>
          <w:sz w:val="20"/>
          <w:szCs w:val="20"/>
          <w:color w:val="auto"/>
        </w:rPr>
      </w:pPr>
    </w:p>
    <w:p>
      <w:pPr>
        <w:ind w:left="1180" w:hanging="544"/>
        <w:spacing w:after="0"/>
        <w:tabs>
          <w:tab w:leader="none" w:pos="118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Trade Secret Protection</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Certain of our technologies, including in particular certain proprietary manufacturing processes or technologies and/or neoantigen prediction technologies, are protected as trade secrets.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00"/>
          </w:cols>
          <w:pgMar w:left="24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In addition to patent protection, we rely upon unpatented trade secrets and confidential know-how and continuing technological innovation to develop and maintain our competitive position. We protect certain of our technologies, including, in particular, certain proprietary manufacturing processes and technologies and/or neoantigen prediction technologies, as trade secrets. However, trade secrets and confidential know-how are difficult to protect. We seek to protect our proprietary information, in part, by using confidentiality agreements with any future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332"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XVII.</w:t>
      </w:r>
      <w:r>
        <w:rPr>
          <w:sz w:val="20"/>
          <w:szCs w:val="20"/>
          <w:color w:val="auto"/>
        </w:rPr>
        <w:tab/>
      </w: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We compete in an industry characterized by rapidly advancing technologies, intense competition and a complex intellectual property landscape. We face substantial competition from many different sources, including large and specialty pharmaceutical and biotechnology companies, academic research institutions and governmental agencies and public and private research institutions.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description of competition surrounding each of our technologies.</w:t>
      </w:r>
    </w:p>
    <w:p>
      <w:pPr>
        <w:spacing w:after="0" w:line="225"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i w:val="1"/>
          <w:iCs w:val="1"/>
          <w:color w:val="auto"/>
        </w:rPr>
        <w:t>mRNA Therapies</w:t>
      </w:r>
      <w:r>
        <w:rPr>
          <w:rFonts w:ascii="Arial" w:cs="Arial" w:eastAsia="Arial" w:hAnsi="Arial"/>
          <w:sz w:val="17"/>
          <w:szCs w:val="17"/>
          <w:color w:val="auto"/>
        </w:rPr>
        <w:t>. mRNA therapies are a new medical frontier, and we expect competition in this space to be robust across diverse therapeutic</w:t>
      </w:r>
      <w:r>
        <w:rPr>
          <w:rFonts w:ascii="Arial" w:cs="Arial" w:eastAsia="Arial" w:hAnsi="Arial"/>
          <w:sz w:val="17"/>
          <w:szCs w:val="17"/>
          <w:i w:val="1"/>
          <w:iCs w:val="1"/>
          <w:color w:val="auto"/>
        </w:rPr>
        <w:t xml:space="preserve"> </w:t>
      </w:r>
      <w:r>
        <w:rPr>
          <w:rFonts w:ascii="Arial" w:cs="Arial" w:eastAsia="Arial" w:hAnsi="Arial"/>
          <w:sz w:val="17"/>
          <w:szCs w:val="17"/>
          <w:color w:val="auto"/>
        </w:rPr>
        <w:t>areas. We compete with a number of companies focused on developing mRNA technologies for a wide range of applications, including Moderna, CureVac, eTheRNA immunotherapies, Translate Bio, Arcturus Therapeutics, ethris, Genevant and GlaxoSmithKline.</w:t>
      </w:r>
    </w:p>
    <w:p>
      <w:pPr>
        <w:spacing w:after="0" w:line="166"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i w:val="1"/>
          <w:iCs w:val="1"/>
          <w:color w:val="auto"/>
        </w:rPr>
        <w:t xml:space="preserve">Oncology. </w:t>
      </w:r>
      <w:r>
        <w:rPr>
          <w:rFonts w:ascii="Arial" w:cs="Arial" w:eastAsia="Arial" w:hAnsi="Arial"/>
          <w:sz w:val="18"/>
          <w:szCs w:val="18"/>
          <w:color w:val="auto"/>
        </w:rPr>
        <w:t>The oncology therapeutics landscape in general is highly competitive and includes large and specialty pharmaceutical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 companies, academic research institutions and governmental agencies and public and private research institutions. It includes both competition from marketed therapies as well as potential new therapeutics in development. We may compete with products with different mechanisms of action as well as against established standards of care. Companies such as AstraZeneca, Amgen, Bristol-Myers Squibb, Celgene, Eli Lilly, GlaxoSmithKline, Incyte, Janssen Pharmaceuticals, Merck &amp; Co., Novartis, Pfizer, Roche and Sanofi are developing diversified immuno-oncology programs and have substantial resources. We expect our intratumoral immunotherapy candidates for the treatment of solid tumors to face direct competition from companies such as Moderna and CureVac.</w:t>
      </w:r>
    </w:p>
    <w:p>
      <w:pPr>
        <w:spacing w:after="0" w:line="18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also expect our FixVac and iNeST candidates to face competition from smaller specialized oncology companies such as Agenus, Neon Therapeutics, Gritstone, Moderna in collaboration with Merck &amp; Co., Aduro Biotech, Advaxis Immunotherapies, Achilles Therapeutics, NousCom, ISA Pharmaceuticals, CureVac in collaboration with Eli Lilly, Genocea Biosciences, Vaccibody, PACT Pharma and ZIOPHARM Oncology in the antigen-based therapy space.</w:t>
      </w:r>
    </w:p>
    <w:p>
      <w:pPr>
        <w:spacing w:after="0" w:line="18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i w:val="1"/>
          <w:iCs w:val="1"/>
          <w:color w:val="auto"/>
        </w:rPr>
        <w:t>Engineered Cell Therapy Drug Class</w:t>
      </w:r>
      <w:r>
        <w:rPr>
          <w:rFonts w:ascii="Arial" w:cs="Arial" w:eastAsia="Arial" w:hAnsi="Arial"/>
          <w:sz w:val="17"/>
          <w:szCs w:val="17"/>
          <w:color w:val="auto"/>
        </w:rPr>
        <w:t>. We compete with a number of companies focused on adoptive cell therapies, including Novartis</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Pharmaceuticals, Gilead Sciences, Celgene, Allogene Therapeutics, CRISPR Therapeutics, bluebird bio, Medigene, Adaptimmune Therapeutics, Amgen, Atara Biotherapeutics, Autolus Limited, Cellectis, PACT, Neon, Mustang Bio, Iovance Biotherapeutics, TCR2 Therapeutics, Editas Medicine, Celyad, Celularity, Unum Therapeutics, Intrexon, and Bellicum Pharmaceuticals and Precision Biosciences.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i w:val="1"/>
          <w:iCs w:val="1"/>
          <w:color w:val="auto"/>
        </w:rPr>
        <w:t xml:space="preserve">Antibodies Drug Class. </w:t>
      </w:r>
      <w:r>
        <w:rPr>
          <w:rFonts w:ascii="Arial" w:cs="Arial" w:eastAsia="Arial" w:hAnsi="Arial"/>
          <w:sz w:val="18"/>
          <w:szCs w:val="18"/>
          <w:color w:val="auto"/>
        </w:rPr>
        <w:t>We compete with a number of companies with operations focused on checkpoint immunomodulators,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AstraZeneca, Merck, Pfizer, Novartis, Roche and Bristol-Myers Squibb.</w:t>
      </w:r>
    </w:p>
    <w:p>
      <w:pPr>
        <w:spacing w:after="0" w:line="170"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i w:val="1"/>
          <w:iCs w:val="1"/>
          <w:color w:val="auto"/>
        </w:rPr>
        <w:t xml:space="preserve">Small Molecule Immunomodulator Drug Class. </w:t>
      </w:r>
      <w:r>
        <w:rPr>
          <w:rFonts w:ascii="Arial" w:cs="Arial" w:eastAsia="Arial" w:hAnsi="Arial"/>
          <w:sz w:val="16"/>
          <w:szCs w:val="16"/>
          <w:color w:val="auto"/>
        </w:rPr>
        <w:t>We are aware of a number of other companies developing TLR agonists, including Checkmate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Dynavax Technologies, Exicure, Gilead, GlaxoSmithKline, Hoffmann-La Roche, Mologen and Nektar Therapeutics.</w:t>
      </w:r>
    </w:p>
    <w:p>
      <w:pPr>
        <w:spacing w:after="0" w:line="12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Infectious Diseases</w:t>
      </w:r>
      <w:r>
        <w:rPr>
          <w:rFonts w:ascii="Arial" w:cs="Arial" w:eastAsia="Arial" w:hAnsi="Arial"/>
          <w:sz w:val="18"/>
          <w:szCs w:val="18"/>
          <w:color w:val="auto"/>
        </w:rPr>
        <w:t>. The infectious disease space includes general competition from well-established pharmaceutical companies such as AbbVie,</w:t>
      </w:r>
      <w:r>
        <w:rPr>
          <w:rFonts w:ascii="Arial" w:cs="Arial" w:eastAsia="Arial" w:hAnsi="Arial"/>
          <w:sz w:val="18"/>
          <w:szCs w:val="18"/>
          <w:i w:val="1"/>
          <w:iCs w:val="1"/>
          <w:color w:val="auto"/>
        </w:rPr>
        <w:t xml:space="preserve"> </w:t>
      </w:r>
      <w:r>
        <w:rPr>
          <w:rFonts w:ascii="Arial" w:cs="Arial" w:eastAsia="Arial" w:hAnsi="Arial"/>
          <w:sz w:val="18"/>
          <w:szCs w:val="18"/>
          <w:color w:val="auto"/>
        </w:rPr>
        <w:t>Bayer, Gilead, Janssen Pharmaceuticals, Merck &amp; Co. and Novartis. In addition, Seqirus UK, Sanofi Pasteur, GlaxoSmithKline, Biomedical Corp. of Quebec and AstraZeneca produce influenza vaccines.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i w:val="1"/>
          <w:iCs w:val="1"/>
          <w:color w:val="auto"/>
        </w:rPr>
        <w:t>Rare Diseases</w:t>
      </w:r>
      <w:r>
        <w:rPr>
          <w:rFonts w:ascii="Arial" w:cs="Arial" w:eastAsia="Arial" w:hAnsi="Arial"/>
          <w:sz w:val="18"/>
          <w:szCs w:val="18"/>
          <w:color w:val="auto"/>
        </w:rPr>
        <w:t>. We compete with a number of companies focused on rare diseases, including Roche, Alexion Pharmaceuticals, Novartis, Bristol-Myers Squibb, Sanofi Novo Nordisk and Pfizer.</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Many of our competitors and potential competitors, either alone or with their collaborators, have greater scientific, research and product development capabilities as well as greater financial, marketing, sales and human resources and experience than we do. In addition, smaller or early-stage companies, including immunotherapy-focused therapeutics companies, may also prove to be significant competitors, particularly through collaborative arrangements with large and established companies. Some of our collaborators, such as Genmab, Pfizer and Sanofi, may also be competitors within the same market or other markets. Accordingly, our competitors may be more successful than us in developing and potentially commercializing technologies and achieving widespread market acceptance. In addition, our competitors may design technologies that are more efficacious, safer or more effectively marketed than ours or have fewer side effects, or may obtain regulatory approvals more quickly than we are able, which could eliminate or reduce our commercial potential.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anticipate that the key competitive factors affecting our technologies will be efficacy, safety, cost and convenience, as well as our ability to build a fully-integrated biotechnology company. The availability of reimbursement from government and other third-party payors will also significantly affect the pricing and competitiveness of our products. The timing of market introduction of our products and competitive products will also affect competition among products. We expect the relative speed with which we can develop our products, complete the clinical trials and approval processes, and supply commercial quantities of the products to the market to be important competitive factors.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40"/>
          </w:cols>
          <w:pgMar w:left="240" w:top="460" w:right="5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060" w:val="left"/>
        </w:tabs>
        <w:rPr>
          <w:sz w:val="20"/>
          <w:szCs w:val="20"/>
          <w:color w:val="auto"/>
        </w:rPr>
      </w:pPr>
      <w:r>
        <w:rPr>
          <w:rFonts w:ascii="Arial" w:cs="Arial" w:eastAsia="Arial" w:hAnsi="Arial"/>
          <w:sz w:val="18"/>
          <w:szCs w:val="18"/>
          <w:b w:val="1"/>
          <w:bCs w:val="1"/>
          <w:color w:val="auto"/>
        </w:rPr>
        <w:t>XVIII.</w:t>
      </w:r>
      <w:r>
        <w:rPr>
          <w:sz w:val="20"/>
          <w:szCs w:val="20"/>
          <w:color w:val="auto"/>
        </w:rPr>
        <w:tab/>
      </w: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July 31, 2019, we had 1,179 full-time employees working for BioNTech, of whom 229 hold a doctoral degree or higher. The following tables provide breakdowns of our full-time equivalent employees as of July 31, 2019 by function and by region:</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Function</w:t>
            </w:r>
          </w:p>
        </w:tc>
        <w:tc>
          <w:tcPr>
            <w:tcW w:w="4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r>
      <w:tr>
        <w:trPr>
          <w:trHeight w:val="203"/>
        </w:trPr>
        <w:tc>
          <w:tcPr>
            <w:tcW w:w="48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Clinical Research &amp; Development</w:t>
            </w:r>
          </w:p>
        </w:tc>
        <w:tc>
          <w:tcPr>
            <w:tcW w:w="20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71</w:t>
            </w:r>
          </w:p>
        </w:tc>
        <w:tc>
          <w:tcPr>
            <w:tcW w:w="60" w:type="dxa"/>
            <w:vAlign w:val="bottom"/>
            <w:tcBorders>
              <w:top w:val="single" w:sz="8" w:color="auto"/>
            </w:tcBorders>
            <w:shd w:val="clear" w:color="auto" w:fill="CCEEFF"/>
          </w:tcPr>
          <w:p>
            <w:pPr>
              <w:spacing w:after="0"/>
              <w:rPr>
                <w:sz w:val="17"/>
                <w:szCs w:val="17"/>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Scientific Research &amp; Development</w:t>
            </w:r>
          </w:p>
        </w:tc>
        <w:tc>
          <w:tcPr>
            <w:tcW w:w="2600" w:type="dxa"/>
            <w:vAlign w:val="bottom"/>
            <w:gridSpan w:val="2"/>
          </w:tcPr>
          <w:p>
            <w:pPr>
              <w:ind w:left="2040"/>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26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Quality</w:t>
            </w:r>
          </w:p>
        </w:tc>
        <w:tc>
          <w:tcPr>
            <w:tcW w:w="2600" w:type="dxa"/>
            <w:vAlign w:val="bottom"/>
            <w:gridSpan w:val="2"/>
          </w:tcPr>
          <w:p>
            <w:pPr>
              <w:ind w:left="204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Supporting Functions</w:t>
            </w:r>
          </w:p>
        </w:tc>
        <w:tc>
          <w:tcPr>
            <w:tcW w:w="260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Commercial &amp; Business Development</w:t>
            </w:r>
          </w:p>
        </w:tc>
        <w:tc>
          <w:tcPr>
            <w:tcW w:w="2600" w:type="dxa"/>
            <w:vAlign w:val="bottom"/>
            <w:gridSpan w:val="2"/>
          </w:tcPr>
          <w:p>
            <w:pPr>
              <w:ind w:left="204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rPr>
              <w:t>1,179</w:t>
            </w:r>
          </w:p>
        </w:tc>
        <w:tc>
          <w:tcPr>
            <w:tcW w:w="60" w:type="dxa"/>
            <w:vAlign w:val="bottom"/>
            <w:shd w:val="clear" w:color="auto" w:fill="CCEEFF"/>
          </w:tcPr>
          <w:p>
            <w:pPr>
              <w:spacing w:after="0"/>
              <w:rPr>
                <w:sz w:val="18"/>
                <w:szCs w:val="18"/>
                <w:color w:val="auto"/>
              </w:rPr>
            </w:pPr>
          </w:p>
        </w:tc>
      </w:tr>
      <w:tr>
        <w:trPr>
          <w:trHeight w:val="412"/>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Region</w:t>
            </w:r>
          </w:p>
        </w:tc>
        <w:tc>
          <w:tcPr>
            <w:tcW w:w="4380" w:type="dxa"/>
            <w:vAlign w:val="bottom"/>
            <w:gridSpan w:val="2"/>
          </w:tcPr>
          <w:p>
            <w:pPr>
              <w:spacing w:after="0"/>
              <w:rPr>
                <w:sz w:val="24"/>
                <w:szCs w:val="24"/>
                <w:color w:val="auto"/>
              </w:rPr>
            </w:pPr>
          </w:p>
        </w:tc>
        <w:tc>
          <w:tcPr>
            <w:tcW w:w="20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r>
      <w:tr>
        <w:trPr>
          <w:trHeight w:val="203"/>
        </w:trPr>
        <w:tc>
          <w:tcPr>
            <w:tcW w:w="48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Mainz (Headquarters)</w:t>
            </w:r>
          </w:p>
        </w:tc>
        <w:tc>
          <w:tcPr>
            <w:tcW w:w="20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832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Munich and Martinsried</w:t>
            </w:r>
          </w:p>
        </w:tc>
        <w:tc>
          <w:tcPr>
            <w:tcW w:w="2600" w:type="dxa"/>
            <w:vAlign w:val="bottom"/>
            <w:gridSpan w:val="2"/>
          </w:tcPr>
          <w:p>
            <w:pPr>
              <w:ind w:left="210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Idar-Oberstein</w:t>
            </w:r>
          </w:p>
        </w:tc>
        <w:tc>
          <w:tcPr>
            <w:tcW w:w="26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Berlin &amp; United States</w:t>
            </w:r>
          </w:p>
        </w:tc>
        <w:tc>
          <w:tcPr>
            <w:tcW w:w="2600" w:type="dxa"/>
            <w:vAlign w:val="bottom"/>
            <w:gridSpan w:val="2"/>
          </w:tcPr>
          <w:p>
            <w:pPr>
              <w:ind w:left="210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0" w:type="dxa"/>
            <w:vAlign w:val="bottom"/>
            <w:gridSpan w:val="2"/>
            <w:shd w:val="clear" w:color="auto" w:fill="CCEEFF"/>
          </w:tcPr>
          <w:p>
            <w:pPr>
              <w:ind w:left="2180"/>
              <w:spacing w:after="0"/>
              <w:rPr>
                <w:sz w:val="20"/>
                <w:szCs w:val="20"/>
                <w:color w:val="auto"/>
              </w:rPr>
            </w:pPr>
            <w:r>
              <w:rPr>
                <w:rFonts w:ascii="Arial" w:cs="Arial" w:eastAsia="Arial" w:hAnsi="Arial"/>
                <w:sz w:val="18"/>
                <w:szCs w:val="18"/>
                <w:b w:val="1"/>
                <w:bCs w:val="1"/>
                <w:color w:val="auto"/>
                <w:w w:val="88"/>
              </w:rPr>
              <w:t>1,179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Since 2016, our workforce has grown by 141%, and we have plans to triple the size of our team at our Mainz manufacturing site over the next several years. Within the next several years, two further new production sites are planned to be built in Mainz and Idar-Oberstein.</w:t>
      </w:r>
    </w:p>
    <w:p>
      <w:pPr>
        <w:spacing w:after="0" w:line="14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None of our employees has engaged in any labor strikes. We have no collective bargaining agreements with our employees. We have a workers’ council at our Idar-Oberstein site. However, we consider our relationship with our employees to be positive and have not experienced any major labor disputes.</w:t>
      </w:r>
    </w:p>
    <w:p>
      <w:pPr>
        <w:spacing w:after="0" w:line="32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XIX.</w:t>
      </w:r>
      <w:r>
        <w:rPr>
          <w:sz w:val="20"/>
          <w:szCs w:val="20"/>
          <w:color w:val="auto"/>
        </w:rPr>
        <w:tab/>
      </w:r>
      <w:r>
        <w:rPr>
          <w:rFonts w:ascii="Arial" w:cs="Arial" w:eastAsia="Arial" w:hAnsi="Arial"/>
          <w:sz w:val="18"/>
          <w:szCs w:val="18"/>
          <w:b w:val="1"/>
          <w:bCs w:val="1"/>
          <w:color w:val="auto"/>
        </w:rPr>
        <w:t>Properties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headquarters are located in Mainz, Germany, where we occupy:</w:t>
      </w:r>
    </w:p>
    <w:p>
      <w:pPr>
        <w:spacing w:after="0" w:line="131" w:lineRule="exact"/>
        <w:rPr>
          <w:sz w:val="20"/>
          <w:szCs w:val="20"/>
          <w:color w:val="auto"/>
        </w:rPr>
      </w:pPr>
    </w:p>
    <w:p>
      <w:pPr>
        <w:ind w:left="1180" w:right="260" w:hanging="436"/>
        <w:spacing w:after="0" w:line="264" w:lineRule="auto"/>
        <w:tabs>
          <w:tab w:leader="none" w:pos="11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Approximately 9,416 square meters (equivalent to approximately 101,353 square feet) of laboratory, GMP manufacturing, storage and office space under a lease for the entire building located at An der Goldgrube 12, 55131 Mainz under a lease that has an initial term that expires on October 30, 2027, but which we have the option to extend until April 30, 2039.</w:t>
      </w:r>
    </w:p>
    <w:p>
      <w:pPr>
        <w:spacing w:after="0" w:line="86" w:lineRule="exact"/>
        <w:rPr>
          <w:rFonts w:ascii="Arial" w:cs="Arial" w:eastAsia="Arial" w:hAnsi="Arial"/>
          <w:sz w:val="18"/>
          <w:szCs w:val="18"/>
          <w:color w:val="auto"/>
        </w:rPr>
      </w:pPr>
    </w:p>
    <w:p>
      <w:pPr>
        <w:ind w:left="1180" w:hanging="436"/>
        <w:spacing w:after="0" w:line="308" w:lineRule="auto"/>
        <w:tabs>
          <w:tab w:leader="none" w:pos="11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Approximately 1,069 square meters (equivalent to approximately 11,507 square feet) of office and GMP manufacturing space under a lease for part of the building located at Kupferbergterrasse 15, 17019, 44116 Mainz under a lease that expires in March 31, 2022.</w:t>
      </w:r>
    </w:p>
    <w:p>
      <w:pPr>
        <w:spacing w:after="0" w:line="51" w:lineRule="exact"/>
        <w:rPr>
          <w:rFonts w:ascii="Arial" w:cs="Arial" w:eastAsia="Arial" w:hAnsi="Arial"/>
          <w:sz w:val="17"/>
          <w:szCs w:val="17"/>
          <w:color w:val="auto"/>
        </w:rPr>
      </w:pPr>
    </w:p>
    <w:p>
      <w:pPr>
        <w:ind w:left="1180" w:right="20" w:hanging="436"/>
        <w:spacing w:after="0" w:line="302" w:lineRule="auto"/>
        <w:tabs>
          <w:tab w:leader="none" w:pos="11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Approximately 4,882 square meters (equivalent to approximately 52,549 square feet) of flexible use space under a lease for the entire building at Adam-Opel-Strasse 10, 55129 Mainz-Hechtsheim that has an initial term that expires on December 31, 2024, but which we have the option to extend until December 31, 2027. If the lease has not been terminated prior to December 31, 2024, and the option has not been exercised prior to this date, the lease will convert to an unlimited period terminable by either party on 12 months’ prior written notice.</w:t>
      </w:r>
    </w:p>
    <w:p>
      <w:pPr>
        <w:spacing w:after="0" w:line="59" w:lineRule="exact"/>
        <w:rPr>
          <w:rFonts w:ascii="Arial" w:cs="Arial" w:eastAsia="Arial" w:hAnsi="Arial"/>
          <w:sz w:val="16"/>
          <w:szCs w:val="16"/>
          <w:color w:val="auto"/>
        </w:rPr>
      </w:pPr>
    </w:p>
    <w:p>
      <w:pPr>
        <w:ind w:left="1180" w:hanging="436"/>
        <w:spacing w:after="0" w:line="264" w:lineRule="auto"/>
        <w:tabs>
          <w:tab w:leader="none" w:pos="11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Approximately 82,881 square meters (equivalent to approximately 892,124 square feet) of office space and a further area of land associated with this office space of approximately 12,600 square meters (equivalent to approximately 135,625 square feet), which is owned by BioNTech.</w:t>
      </w:r>
    </w:p>
    <w:p>
      <w:pPr>
        <w:spacing w:after="0" w:line="86"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We have entered into an agreement to lease 4,025 square meters (equivalent to 43,324 square feet) of office space under a lease for the entire building at Hechtsheimer Strasse 2,55131 Mainz-Hechtsheim,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20"/>
          </w:cols>
          <w:pgMar w:left="240" w:top="460"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59" w:lineRule="auto"/>
        <w:rPr>
          <w:sz w:val="20"/>
          <w:szCs w:val="20"/>
          <w:color w:val="auto"/>
        </w:rPr>
      </w:pPr>
      <w:r>
        <w:rPr>
          <w:rFonts w:ascii="Arial" w:cs="Arial" w:eastAsia="Arial" w:hAnsi="Arial"/>
          <w:sz w:val="18"/>
          <w:szCs w:val="18"/>
          <w:color w:val="auto"/>
        </w:rPr>
        <w:t>which commenced on July 1, 2019. The initial term of the lease expires on June 30, 2029, which we have the option to extend until June 30, 2034 and again until June 30, 2039. The grant of the lease is also conditional upon the Company purchasing a 8,753 square meter (equivalent to 94,216 square feet) plot of land at Hechtsheimer Strasse, 55131 Mainz-Hechtsheim, and being entered as the owner of such land in the property register by September 30, 2019.</w:t>
      </w:r>
    </w:p>
    <w:p>
      <w:pPr>
        <w:spacing w:after="0" w:line="92" w:lineRule="exact"/>
        <w:rPr>
          <w:sz w:val="20"/>
          <w:szCs w:val="20"/>
          <w:color w:val="auto"/>
        </w:rPr>
      </w:pPr>
    </w:p>
    <w:p>
      <w:pPr>
        <w:ind w:left="1180" w:right="240" w:hanging="436"/>
        <w:spacing w:after="0" w:line="286" w:lineRule="auto"/>
        <w:tabs>
          <w:tab w:leader="none" w:pos="11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We have entered into an agreement to purchase approximately 8,753 square meters (equivalent to 94,216 square feet) of land at Hechtsheimer Strasse, 55131 Mainz. We have paid the purchase price and the application to register us as the new owner of the land has been submitted. Our registration as owner of this land in the property register has not yet been completed.</w:t>
      </w:r>
    </w:p>
    <w:p>
      <w:pPr>
        <w:spacing w:after="0" w:line="166"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In addition, our BioNTech IMFS facility in Idar-Oberstein, Germany, occupies approximately 2,800 square meters (equivalent to approximately 30,140 square feet). This includes 650 square meters (approximately 7,000 square feet) of clean room area, and 700 square meters (approximately 7,500 square feet) of development and quality control laboratories. We occupy approximately 575 square meters (equivalent to approximately 6,200 square feet) of this space, which is used primarily for storage, under a lease that has an initial expiry date of October 1, 2021, but which we have the right to extend by an additional five years. We occupy approximately 100 square meters (equivalent to approximately 1,075 square feet) of this space, which is used primarily for storage, under a lease that can be terminated by either party on six months’ written notice (but not earlier than May 1, 2020). We occupy approximately 80 square meters (equivalent to approximately 860 square feet) of this space, which is used as office space, under a lease that can be terminated by either party on three months’ written notice. The rest of this facility, including the GMP-certified manufacturing suites, is owned by BioNTech. We also recently purchased a building of approximately 802 square meters (equivalent to 8,632 square feet) near our IMFS facility in Idar-Oberstein, which will be used as office space. Our registration as owner of the building in the property register has not yet been completed.</w:t>
      </w:r>
    </w:p>
    <w:p>
      <w:pPr>
        <w:spacing w:after="0" w:line="6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At our JPT facility in Berlin, Germany, we occupy approximately 1,755 square meters (equivalent to approximately 18,890 square feet) of office, laboratory and other space. Approximately 250 square meters of that space (equivalent to approximately 2,690 square feet) is occupied under a lease which has an initial expiry date of December 31, 2019 and will continue for further six-month periods, unless terminated by either party on three months’ prior written notice. The remaining 1,505 square meters (equivalent to approximately 16,199 square feet) is occupied under a lease for an indeterminate period of time but which may be terminated by either party on 12 months’ prior written notice.</w:t>
      </w:r>
    </w:p>
    <w:p>
      <w:pPr>
        <w:spacing w:after="0" w:line="6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Martinsried, Germany, we occupy approximately 1,681 square meters (equivalent to approximately 18,100 square feet) under a lease that has an initial term that expires on December 31, 2020, but which we have the option to extend until December 31, 2022.</w:t>
      </w:r>
    </w:p>
    <w:p>
      <w:pPr>
        <w:spacing w:after="0" w:line="62"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In Neuried, Germany, we occupy approximately 725 square meters (equivalent to approximately 7,800 square feet) of laboratory and office space under a lease that expires on December 31, 2021, but which we have the option to extend until December 31, 2026. If the lease is not terminated before December 31, 2021 (where the option is not exercised) or December 31, 2026 (where the option is exercised) the lease will renew automatically for an additional one-year periods until terminated by either party on 12 months’ prior written notice.</w:t>
      </w:r>
    </w:p>
    <w:p>
      <w:pPr>
        <w:spacing w:after="0" w:line="17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San Diego, we occupy approximately 14,971 square feet of laboratory and office space under a lease to part of a building located at 11535 Sorrento Valley Road, San Diego, California, that expires on February 28, 2022.</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expand our capacity as follows:</w:t>
      </w:r>
    </w:p>
    <w:p>
      <w:pPr>
        <w:spacing w:after="0" w:line="131" w:lineRule="exact"/>
        <w:rPr>
          <w:sz w:val="20"/>
          <w:szCs w:val="20"/>
          <w:color w:val="auto"/>
        </w:rPr>
      </w:pPr>
    </w:p>
    <w:p>
      <w:pPr>
        <w:ind w:left="1180" w:hanging="436"/>
        <w:spacing w:after="0" w:line="259" w:lineRule="auto"/>
        <w:tabs>
          <w:tab w:leader="none" w:pos="11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2020, we anticipate completing the construction of two new buildings at our BioNTech IMFS facility in Idar-Oberstein, Germany, which we will own, and as a result of which we will occupy an additional 780 square meters (equivalent to approximately 8,395 square feet) of clean room space, 550 square meters (equivalent to approximately 5,900 square feet) of laboratory space, and 650 square meters (equivalent to approximately 7,000 square feet) of office space.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20"/>
          </w:cols>
          <w:pgMar w:left="240" w:top="460"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59" w:lineRule="auto"/>
        <w:tabs>
          <w:tab w:leader="none" w:pos="11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 2022, we anticipate completing the construction of a new complex of building for our JPT business in Berlin, Germany, as a result of which we will occupy approximately 2,727 square meters (equivalent to approximately 29,353 square feet) of laboratory and office space and a total of approximately 5,000 square meters (equivalent to approximately 53,820 square feet) of useable floor space. Upon completion of the construction project we will own this new building.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information on these additions to our facilities, see “—XIII. Manufacturing—Future Manufacturing Outlook.”</w:t>
      </w:r>
    </w:p>
    <w:p>
      <w:pPr>
        <w:spacing w:after="0" w:line="370" w:lineRule="exact"/>
        <w:rPr>
          <w:sz w:val="20"/>
          <w:szCs w:val="20"/>
          <w:color w:val="auto"/>
        </w:rPr>
      </w:pPr>
    </w:p>
    <w:p>
      <w:pPr>
        <w:ind w:left="740" w:hanging="536"/>
        <w:spacing w:after="0"/>
        <w:tabs>
          <w:tab w:leader="none" w:pos="7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From time to time, we may be involved in legal proceedings in the ordinary course of business. We are currently not a party to any material legal or administrative proceedings. In addition, we are not aware of any material legal or administrative proceedings contemplated to be brought against us. Regardless of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20"/>
          </w:cols>
          <w:pgMar w:left="24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Board and Supervisory Board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Management Board (</w:t>
      </w:r>
      <w:r>
        <w:rPr>
          <w:rFonts w:ascii="Arial" w:cs="Arial" w:eastAsia="Arial" w:hAnsi="Arial"/>
          <w:sz w:val="18"/>
          <w:szCs w:val="18"/>
          <w:b w:val="1"/>
          <w:bCs w:val="1"/>
          <w:i w:val="1"/>
          <w:iCs w:val="1"/>
          <w:color w:val="auto"/>
        </w:rPr>
        <w:t>Vorstand</w:t>
      </w:r>
      <w:r>
        <w:rPr>
          <w:rFonts w:ascii="Arial" w:cs="Arial" w:eastAsia="Arial" w:hAnsi="Arial"/>
          <w:sz w:val="18"/>
          <w:szCs w:val="18"/>
          <w:b w:val="1"/>
          <w:bCs w:val="1"/>
          <w:color w:val="auto"/>
        </w:rPr>
        <w: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names and functions of the current members of our Management Board, their ages and their terms: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40" w:type="dxa"/>
            <w:vAlign w:val="bottom"/>
            <w:gridSpan w:val="2"/>
          </w:tcPr>
          <w:p>
            <w:pPr>
              <w:ind w:left="1620"/>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jc w:val="right"/>
              <w:ind w:right="94"/>
              <w:spacing w:after="0"/>
              <w:rPr>
                <w:sz w:val="20"/>
                <w:szCs w:val="20"/>
                <w:color w:val="auto"/>
              </w:rPr>
            </w:pPr>
            <w:r>
              <w:rPr>
                <w:rFonts w:ascii="Arial" w:cs="Arial" w:eastAsia="Arial" w:hAnsi="Arial"/>
                <w:sz w:val="14"/>
                <w:szCs w:val="14"/>
                <w:b w:val="1"/>
                <w:bCs w:val="1"/>
                <w:color w:val="auto"/>
              </w:rPr>
              <w:t>Age</w:t>
            </w:r>
          </w:p>
        </w:tc>
        <w:tc>
          <w:tcPr>
            <w:tcW w:w="440" w:type="dxa"/>
            <w:vAlign w:val="bottom"/>
          </w:tcPr>
          <w:p>
            <w:pPr>
              <w:spacing w:after="0"/>
              <w:rPr>
                <w:sz w:val="16"/>
                <w:szCs w:val="16"/>
                <w:color w:val="auto"/>
              </w:rPr>
            </w:pPr>
          </w:p>
        </w:tc>
        <w:tc>
          <w:tcPr>
            <w:tcW w:w="6280" w:type="dxa"/>
            <w:vAlign w:val="bottom"/>
          </w:tcPr>
          <w:p>
            <w:pPr>
              <w:ind w:left="28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 Ugur Sahin, M.D.</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4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Sean Marett</w:t>
            </w: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Chief Business Officer and Chief Commercial Officer</w:t>
            </w: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Sierk Poetting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Dr. Özlem Türeci</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Chief Medical Officer</w:t>
            </w:r>
          </w:p>
        </w:tc>
      </w:tr>
    </w:tbl>
    <w:p>
      <w:pPr>
        <w:spacing w:after="0" w:line="18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business address of the members of our Management Board is the same as our business address: An der Goldgrube 12, D-55131 Mainz, Germany.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brief summary of the business experience of the members of our Management Board:</w:t>
      </w:r>
    </w:p>
    <w:p>
      <w:pPr>
        <w:spacing w:after="0" w:line="221" w:lineRule="exact"/>
        <w:rPr>
          <w:sz w:val="20"/>
          <w:szCs w:val="20"/>
          <w:color w:val="auto"/>
        </w:rPr>
      </w:pPr>
    </w:p>
    <w:p>
      <w:pPr>
        <w:ind w:left="200" w:right="180" w:firstLine="441"/>
        <w:spacing w:after="0" w:line="256" w:lineRule="auto"/>
        <w:rPr>
          <w:sz w:val="20"/>
          <w:szCs w:val="20"/>
          <w:color w:val="auto"/>
        </w:rPr>
      </w:pPr>
      <w:r>
        <w:rPr>
          <w:rFonts w:ascii="Arial" w:cs="Arial" w:eastAsia="Arial" w:hAnsi="Arial"/>
          <w:sz w:val="18"/>
          <w:szCs w:val="18"/>
          <w:b w:val="1"/>
          <w:bCs w:val="1"/>
          <w:color w:val="auto"/>
        </w:rPr>
        <w:t xml:space="preserve">Prof. Ugur Sahin, M.D. </w:t>
      </w:r>
      <w:r>
        <w:rPr>
          <w:rFonts w:ascii="Arial" w:cs="Arial" w:eastAsia="Arial" w:hAnsi="Arial"/>
          <w:sz w:val="18"/>
          <w:szCs w:val="18"/>
          <w:color w:val="auto"/>
        </w:rPr>
        <w:t>co-founded BioNTech in 2008 and has served as our Chief Executive Officer since that time. Prof. Sahin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 of the Scientific Advisory Board of Ganymed Pharmaceuticals AG from 2008 until the company was acquired by Astellas Pharma Inc., or Astellas, in 2016. In 2010, Prof. Sahin co-founded TRON, and served as a Managing Director from 2010 until 2019. Prof. Sahin has also been a professor (W3) at the Mainz University Medical Center since 2014. Prof. Sahin co-founded the Ci3, the German Cluster Initiative of Individualized ImmunIntervention (Ci3), a non-profit organization. Prof. Sahin earned an M.D. in 1990 from the University of Cologne. Prof. Sahin is married to Dr. Özlem Türeci.</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b w:val="1"/>
          <w:bCs w:val="1"/>
          <w:color w:val="auto"/>
        </w:rPr>
        <w:t xml:space="preserve">Sean Marett </w:t>
      </w:r>
      <w:r>
        <w:rPr>
          <w:rFonts w:ascii="Arial" w:cs="Arial" w:eastAsia="Arial" w:hAnsi="Arial"/>
          <w:sz w:val="17"/>
          <w:szCs w:val="17"/>
          <w:color w:val="auto"/>
        </w:rPr>
        <w:t>joined BioNTech in 2012. Prior to joining BioNTech, he worked in global strategic and regional marketing and sales roles at</w:t>
      </w:r>
      <w:r>
        <w:rPr>
          <w:rFonts w:ascii="Arial" w:cs="Arial" w:eastAsia="Arial" w:hAnsi="Arial"/>
          <w:sz w:val="17"/>
          <w:szCs w:val="17"/>
          <w:b w:val="1"/>
          <w:bCs w:val="1"/>
          <w:color w:val="auto"/>
        </w:rPr>
        <w:t xml:space="preserve"> </w:t>
      </w:r>
      <w:r>
        <w:rPr>
          <w:rFonts w:ascii="Arial" w:cs="Arial" w:eastAsia="Arial" w:hAnsi="Arial"/>
          <w:sz w:val="17"/>
          <w:szCs w:val="17"/>
          <w:color w:val="auto"/>
        </w:rPr>
        <w:t>GlaxoSmithKline in the United States and Pfizer in Europe before taking business development executive roles at Evotec and Lorantis, the latter of which he helped to successfully sell to Celldex Therapeutics, Inc. He has successfully executed complex licensing transactions with large pharmaceutical companies, negotiated M&amp;A transactions and raised finance from investors. Mr. Marett built and ran a contract clinical manufacturing organization with operations across Europe and the United States for over half a decade for the contract manufacturer, NextPharma. Mr. Marett has been Chairman of PHMR Ltd, a company specializing in market access and pharmaceutical reimbursement, since 2017. He previously held non-executive directorship of KWS BioTest Ltd (successfully sold to Charles River) from 2011 until 2018 and was a member of the investment committee of Mann BioInvest Ltd, a fund dedicated to biotechnology and pharmaceutical company investments from 2013 until 2016. He holds a BSc (Hons) in Biochemistry from Kings College London and an MBA from Manchester Business School.</w:t>
      </w:r>
    </w:p>
    <w:p>
      <w:pPr>
        <w:spacing w:after="0" w:line="174" w:lineRule="exact"/>
        <w:rPr>
          <w:sz w:val="20"/>
          <w:szCs w:val="20"/>
          <w:color w:val="auto"/>
        </w:rPr>
      </w:pPr>
    </w:p>
    <w:p>
      <w:pPr>
        <w:ind w:left="200" w:right="200" w:firstLine="441"/>
        <w:spacing w:after="0" w:line="281" w:lineRule="auto"/>
        <w:rPr>
          <w:sz w:val="20"/>
          <w:szCs w:val="20"/>
          <w:color w:val="auto"/>
        </w:rPr>
      </w:pPr>
      <w:r>
        <w:rPr>
          <w:rFonts w:ascii="Arial" w:cs="Arial" w:eastAsia="Arial" w:hAnsi="Arial"/>
          <w:sz w:val="17"/>
          <w:szCs w:val="17"/>
          <w:b w:val="1"/>
          <w:bCs w:val="1"/>
          <w:color w:val="auto"/>
        </w:rPr>
        <w:t xml:space="preserve">Dr. Sierk Poetting </w:t>
      </w:r>
      <w:r>
        <w:rPr>
          <w:rFonts w:ascii="Arial" w:cs="Arial" w:eastAsia="Arial" w:hAnsi="Arial"/>
          <w:sz w:val="17"/>
          <w:szCs w:val="17"/>
          <w:color w:val="auto"/>
        </w:rPr>
        <w:t>is our Chief Financial Officer and Chief Operating Officer. Dr. Poetting joined BioNTech in September 2014 from Novartis,</w:t>
      </w:r>
      <w:r>
        <w:rPr>
          <w:rFonts w:ascii="Arial" w:cs="Arial" w:eastAsia="Arial" w:hAnsi="Arial"/>
          <w:sz w:val="17"/>
          <w:szCs w:val="17"/>
          <w:b w:val="1"/>
          <w:bCs w:val="1"/>
          <w:color w:val="auto"/>
        </w:rPr>
        <w:t xml:space="preserve"> </w:t>
      </w:r>
      <w:r>
        <w:rPr>
          <w:rFonts w:ascii="Arial" w:cs="Arial" w:eastAsia="Arial" w:hAnsi="Arial"/>
          <w:sz w:val="17"/>
          <w:szCs w:val="17"/>
          <w:color w:val="auto"/>
        </w:rPr>
        <w:t>where he served from May 2012 to August 2014 as Vice President and Chief Financial Officer for the Sandoz Division in North America. Dr. Poetting started his career as a consultant with McKinsey &amp; Company. A German citizen, Dr. Poetting holds a Master of Science in Optical Sciences from the University of Arizona and a Ph.D. in Physics from the Ludwig-Maximilians University in Munich.</w:t>
      </w:r>
    </w:p>
    <w:p>
      <w:pPr>
        <w:spacing w:after="0" w:line="165" w:lineRule="exact"/>
        <w:rPr>
          <w:sz w:val="20"/>
          <w:szCs w:val="20"/>
          <w:color w:val="auto"/>
        </w:rPr>
      </w:pPr>
    </w:p>
    <w:p>
      <w:pPr>
        <w:ind w:left="200" w:right="280" w:firstLine="441"/>
        <w:spacing w:after="0" w:line="258" w:lineRule="auto"/>
        <w:rPr>
          <w:sz w:val="20"/>
          <w:szCs w:val="20"/>
          <w:color w:val="auto"/>
        </w:rPr>
      </w:pPr>
      <w:r>
        <w:rPr>
          <w:rFonts w:ascii="Arial" w:cs="Arial" w:eastAsia="Arial" w:hAnsi="Arial"/>
          <w:sz w:val="18"/>
          <w:szCs w:val="18"/>
          <w:b w:val="1"/>
          <w:bCs w:val="1"/>
          <w:color w:val="auto"/>
        </w:rPr>
        <w:t xml:space="preserve">Dr. Özlem Türeci </w:t>
      </w:r>
      <w:r>
        <w:rPr>
          <w:rFonts w:ascii="Arial" w:cs="Arial" w:eastAsia="Arial" w:hAnsi="Arial"/>
          <w:sz w:val="18"/>
          <w:szCs w:val="18"/>
          <w:color w:val="auto"/>
        </w:rPr>
        <w:t>is our Chief Medical Officer. Dr. Türeci joined BioNTech in 2008 as a clinical and scientific advisory board member,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becoming our Chief Medical Officer in 2018. Dr. Türeci co-founded Ganymed Pharmaceuticals, now a subsidiary of Astellas, in 2001 as Chief Scientific Officer and became its Chief Executive Officer in 2008. Dr. Türeci is chairman and co-initiator of Ci3. Dr. Türeci is also President of the Association for Cancer Immunotherapy (CIMT). Dr. Türeci earned her M.D. from Saarland University Faculty of Medicine, Homburg. Dr. Türeci is married to Prof. Ugur Sahin, M.D.</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240" w:top="460" w:right="4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Supervisory Board (</w:t>
      </w:r>
      <w:r>
        <w:rPr>
          <w:rFonts w:ascii="Arial" w:cs="Arial" w:eastAsia="Arial" w:hAnsi="Arial"/>
          <w:sz w:val="18"/>
          <w:szCs w:val="18"/>
          <w:b w:val="1"/>
          <w:bCs w:val="1"/>
          <w:i w:val="1"/>
          <w:iCs w:val="1"/>
          <w:color w:val="auto"/>
        </w:rPr>
        <w:t>Aufsichtsrat</w:t>
      </w:r>
      <w:r>
        <w:rPr>
          <w:rFonts w:ascii="Arial" w:cs="Arial" w:eastAsia="Arial" w:hAnsi="Arial"/>
          <w:sz w:val="18"/>
          <w:szCs w:val="18"/>
          <w:b w:val="1"/>
          <w:bCs w:val="1"/>
          <w:color w:val="auto"/>
        </w:rPr>
        <w:t>)</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the names and functions of the current members of our Supervisory Board, their ages, their terms (which expire on the date of the relevant year’s general shareholders’ meeting) and their principal occupations outside of our Company:</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Term</w:t>
            </w:r>
          </w:p>
        </w:tc>
        <w:tc>
          <w:tcPr>
            <w:tcW w:w="260" w:type="dxa"/>
            <w:vAlign w:val="bottom"/>
          </w:tcPr>
          <w:p>
            <w:pPr>
              <w:spacing w:after="0"/>
              <w:rPr>
                <w:sz w:val="14"/>
                <w:szCs w:val="14"/>
                <w:color w:val="auto"/>
              </w:rPr>
            </w:pPr>
          </w:p>
        </w:tc>
        <w:tc>
          <w:tcPr>
            <w:tcW w:w="600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Principal Occupation</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Expires</w:t>
            </w:r>
          </w:p>
        </w:tc>
        <w:tc>
          <w:tcPr>
            <w:tcW w:w="260" w:type="dxa"/>
            <w:vAlign w:val="bottom"/>
          </w:tcPr>
          <w:p>
            <w:pPr>
              <w:spacing w:after="0"/>
              <w:rPr>
                <w:sz w:val="14"/>
                <w:szCs w:val="14"/>
                <w:color w:val="auto"/>
              </w:rPr>
            </w:pPr>
          </w:p>
        </w:tc>
        <w:tc>
          <w:tcPr>
            <w:tcW w:w="6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Helmut Jeggle</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Chief Executive Officer and Chief Operating Officer of ATHOS Service GmbH</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Michael Motschmann</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62</w:t>
            </w:r>
          </w:p>
        </w:tc>
        <w:tc>
          <w:tcPr>
            <w:tcW w:w="7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2023</w:t>
            </w:r>
          </w:p>
        </w:tc>
        <w:tc>
          <w:tcPr>
            <w:tcW w:w="626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6"/>
              </w:rPr>
              <w:t>Member of the Board of Management and Head of Equity Investments of MIG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60" w:type="dxa"/>
            <w:vAlign w:val="bottom"/>
            <w:gridSpan w:val="2"/>
          </w:tcPr>
          <w:p>
            <w:pPr>
              <w:ind w:left="260"/>
              <w:spacing w:after="0"/>
              <w:rPr>
                <w:sz w:val="20"/>
                <w:szCs w:val="20"/>
                <w:color w:val="auto"/>
              </w:rPr>
            </w:pPr>
            <w:r>
              <w:rPr>
                <w:rFonts w:ascii="Arial" w:cs="Arial" w:eastAsia="Arial" w:hAnsi="Arial"/>
                <w:sz w:val="18"/>
                <w:szCs w:val="18"/>
                <w:color w:val="auto"/>
              </w:rPr>
              <w:t>Verwaltungs AG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Prof. Christoph Huber, M.D.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6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Chairman Emeritus at the Johannes-Gutenberg University Mainz</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Dr. Ulrich Wandschneider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6260" w:type="dxa"/>
            <w:vAlign w:val="bottom"/>
            <w:gridSpan w:val="2"/>
          </w:tcPr>
          <w:p>
            <w:pPr>
              <w:ind w:left="260"/>
              <w:spacing w:after="0"/>
              <w:rPr>
                <w:sz w:val="20"/>
                <w:szCs w:val="20"/>
                <w:color w:val="auto"/>
              </w:rPr>
            </w:pPr>
            <w:r>
              <w:rPr>
                <w:rFonts w:ascii="Arial" w:cs="Arial" w:eastAsia="Arial" w:hAnsi="Arial"/>
                <w:sz w:val="18"/>
                <w:szCs w:val="18"/>
                <w:color w:val="auto"/>
              </w:rPr>
              <w:t>Independent consultant to life sciences companies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business address of the members of our Supervisory Board is the same as our business address: An der Goldgrube 12, D-55131 Mainz, Germany.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brief summary of the prior business experience of the members of our Supervisory Board:</w:t>
      </w:r>
    </w:p>
    <w:p>
      <w:pPr>
        <w:spacing w:after="0" w:line="2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b w:val="1"/>
          <w:bCs w:val="1"/>
          <w:color w:val="auto"/>
        </w:rPr>
        <w:t xml:space="preserve">Helmut Jeggle </w:t>
      </w:r>
      <w:r>
        <w:rPr>
          <w:rFonts w:ascii="Arial" w:cs="Arial" w:eastAsia="Arial" w:hAnsi="Arial"/>
          <w:sz w:val="18"/>
          <w:szCs w:val="18"/>
          <w:color w:val="auto"/>
        </w:rPr>
        <w:t>has served as the Chairman of our Supervisory Board since 2008. Mr. Jeggle has served as the Chief Executive Officer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Officer of ATHOS Service GmbH since 2015. From 2007 until 2015, Mr. Jeggle served as the Head of Direct Investments of ATHOS Service GmbH. From 2002 until 2007, Mr. Jeggle held various positions with Hexal AG, including Head of Business Planning &amp; Analyses. Mr. Jeggle is currently the Chief Executive Officer of each of Salvia GmbH (since 2014), Neula Holding GmbH (since 2010) and AT-Gruppe (since 2008) and a manager of Santo Group (since 2011). Mr. Jeggle is a member of numerous supervisory boards, including 4SC AG. Mr. Jeggle has a degree in business administration from the University of Applied Sciences Neu-Ulm and earned his Master of Business Administration from the Stuttgart Institute of Management and Technology.</w:t>
      </w:r>
    </w:p>
    <w:p>
      <w:pPr>
        <w:spacing w:after="0" w:line="189" w:lineRule="exact"/>
        <w:rPr>
          <w:sz w:val="20"/>
          <w:szCs w:val="20"/>
          <w:color w:val="auto"/>
        </w:rPr>
      </w:pPr>
    </w:p>
    <w:p>
      <w:pPr>
        <w:ind w:left="200" w:right="200" w:firstLine="441"/>
        <w:spacing w:after="0" w:line="266" w:lineRule="auto"/>
        <w:rPr>
          <w:sz w:val="20"/>
          <w:szCs w:val="20"/>
          <w:color w:val="auto"/>
        </w:rPr>
      </w:pPr>
      <w:r>
        <w:rPr>
          <w:rFonts w:ascii="Arial" w:cs="Arial" w:eastAsia="Arial" w:hAnsi="Arial"/>
          <w:sz w:val="18"/>
          <w:szCs w:val="18"/>
          <w:b w:val="1"/>
          <w:bCs w:val="1"/>
          <w:color w:val="auto"/>
        </w:rPr>
        <w:t xml:space="preserve">Michael Motschmann </w:t>
      </w:r>
      <w:r>
        <w:rPr>
          <w:rFonts w:ascii="Arial" w:cs="Arial" w:eastAsia="Arial" w:hAnsi="Arial"/>
          <w:sz w:val="18"/>
          <w:szCs w:val="18"/>
          <w:color w:val="auto"/>
        </w:rPr>
        <w:t>has served as a member of our Supervisory Board since 2008. Mr. Motschmann co-founded MIG Verwaltungs AG, or</w:t>
      </w:r>
      <w:r>
        <w:rPr>
          <w:rFonts w:ascii="Arial" w:cs="Arial" w:eastAsia="Arial" w:hAnsi="Arial"/>
          <w:sz w:val="18"/>
          <w:szCs w:val="18"/>
          <w:b w:val="1"/>
          <w:bCs w:val="1"/>
          <w:color w:val="auto"/>
        </w:rPr>
        <w:t xml:space="preserve"> </w:t>
      </w:r>
      <w:r>
        <w:rPr>
          <w:rFonts w:ascii="Arial" w:cs="Arial" w:eastAsia="Arial" w:hAnsi="Arial"/>
          <w:sz w:val="18"/>
          <w:szCs w:val="18"/>
          <w:color w:val="auto"/>
        </w:rPr>
        <w:t>MIG, in 2004, where he serves on the Management Board and as Head of Equity Investments. In his role with MIG, Mr. Motschmann currently serves on the supervisory boards of several private portfolio companies.</w:t>
      </w:r>
    </w:p>
    <w:p>
      <w:pPr>
        <w:spacing w:after="0" w:line="17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7"/>
          <w:szCs w:val="17"/>
          <w:b w:val="1"/>
          <w:bCs w:val="1"/>
          <w:color w:val="auto"/>
        </w:rPr>
        <w:t xml:space="preserve">Prof. Christoph Huber, M.D. </w:t>
      </w:r>
      <w:r>
        <w:rPr>
          <w:rFonts w:ascii="Arial" w:cs="Arial" w:eastAsia="Arial" w:hAnsi="Arial"/>
          <w:sz w:val="17"/>
          <w:szCs w:val="17"/>
          <w:color w:val="auto"/>
        </w:rPr>
        <w:t>is a co-founder of BioNTech and has served as a member of our Supervisory Board since 2008. Prof. Huber has</w:t>
      </w:r>
      <w:r>
        <w:rPr>
          <w:rFonts w:ascii="Arial" w:cs="Arial" w:eastAsia="Arial" w:hAnsi="Arial"/>
          <w:sz w:val="17"/>
          <w:szCs w:val="17"/>
          <w:b w:val="1"/>
          <w:bCs w:val="1"/>
          <w:color w:val="auto"/>
        </w:rPr>
        <w:t xml:space="preserve"> </w:t>
      </w:r>
      <w:r>
        <w:rPr>
          <w:rFonts w:ascii="Arial" w:cs="Arial" w:eastAsia="Arial" w:hAnsi="Arial"/>
          <w:sz w:val="17"/>
          <w:szCs w:val="17"/>
          <w:color w:val="auto"/>
        </w:rPr>
        <w:t>more than 50 years of professional experience in hematology, oncology and translational immunology. Prof. Huber has since 2014 served as Chairman Emeritus of the Department of Hematology and Oncology at the Johannes-Gutenberg University Mainz. Prof. Huber was a co-founder of Ganymed, now a subsidiary of Astellas Pharma Inc. He is an executive board member of CIMT and a board member of Ci3. From 2018 to April 2019, Prof. Huber served as a member of the supervisory board of TRON. Prof. Huber earned his M.D. at the University of Innsbruck.</w:t>
      </w:r>
    </w:p>
    <w:p>
      <w:pPr>
        <w:spacing w:after="0" w:line="168" w:lineRule="exact"/>
        <w:rPr>
          <w:sz w:val="20"/>
          <w:szCs w:val="20"/>
          <w:color w:val="auto"/>
        </w:rPr>
      </w:pPr>
    </w:p>
    <w:p>
      <w:pPr>
        <w:ind w:left="200" w:right="260" w:firstLine="441"/>
        <w:spacing w:after="0" w:line="293" w:lineRule="auto"/>
        <w:rPr>
          <w:sz w:val="20"/>
          <w:szCs w:val="20"/>
          <w:color w:val="auto"/>
        </w:rPr>
      </w:pPr>
      <w:r>
        <w:rPr>
          <w:rFonts w:ascii="Arial" w:cs="Arial" w:eastAsia="Arial" w:hAnsi="Arial"/>
          <w:sz w:val="16"/>
          <w:szCs w:val="16"/>
          <w:b w:val="1"/>
          <w:bCs w:val="1"/>
          <w:color w:val="auto"/>
        </w:rPr>
        <w:t xml:space="preserve">Dr. Ulrich Wandschneider, Ph.D. </w:t>
      </w:r>
      <w:r>
        <w:rPr>
          <w:rFonts w:ascii="Arial" w:cs="Arial" w:eastAsia="Arial" w:hAnsi="Arial"/>
          <w:sz w:val="16"/>
          <w:szCs w:val="16"/>
          <w:color w:val="auto"/>
        </w:rPr>
        <w:t>has served as a member of our Supervisory Board since 2018. Dr. Wandschneider has more than 20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healthcare sector as a manager in the operative business and as a member of boards and committees. From 2011 to 2016</w:t>
      </w:r>
    </w:p>
    <w:p>
      <w:pPr>
        <w:spacing w:after="0" w:line="1" w:lineRule="exact"/>
        <w:rPr>
          <w:sz w:val="20"/>
          <w:szCs w:val="20"/>
          <w:color w:val="auto"/>
        </w:rPr>
      </w:pPr>
    </w:p>
    <w:p>
      <w:pPr>
        <w:ind w:left="200" w:right="880"/>
        <w:spacing w:after="0" w:line="261" w:lineRule="auto"/>
        <w:rPr>
          <w:sz w:val="20"/>
          <w:szCs w:val="20"/>
          <w:color w:val="auto"/>
        </w:rPr>
      </w:pPr>
      <w:r>
        <w:rPr>
          <w:rFonts w:ascii="Arial" w:cs="Arial" w:eastAsia="Arial" w:hAnsi="Arial"/>
          <w:sz w:val="18"/>
          <w:szCs w:val="18"/>
          <w:color w:val="auto"/>
        </w:rPr>
        <w:t>Dr. Wandschneider served as Chief Executive Officer of Asklepios Kliniken GmbH &amp; Co. KGaA. Dr. Wandschneider currently serves on the supervisory board of Mediclin AG.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240" w:top="460"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Two-Tiered Board Structure</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a European public company with limited liability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or SE) (also referred to as European stock corporation, and in the official terminology of the European legislation referred to as European public limited-liability company), having its seat in Germany. We accordingly are subject to the European legislation on the </w:t>
      </w:r>
      <w:r>
        <w:rPr>
          <w:rFonts w:ascii="Arial" w:cs="Arial" w:eastAsia="Arial" w:hAnsi="Arial"/>
          <w:sz w:val="17"/>
          <w:szCs w:val="17"/>
          <w:i w:val="1"/>
          <w:iCs w:val="1"/>
          <w:color w:val="auto"/>
        </w:rPr>
        <w:t>Societas Europaea</w:t>
      </w:r>
      <w:r>
        <w:rPr>
          <w:rFonts w:ascii="Arial" w:cs="Arial" w:eastAsia="Arial" w:hAnsi="Arial"/>
          <w:sz w:val="17"/>
          <w:szCs w:val="17"/>
          <w:color w:val="auto"/>
        </w:rPr>
        <w:t>, namely the Council Regulation (EC) No 2157/2001 of October 8, 2001 on the Statute for a European company, or the SE Regulation; and the German Act on the Implementation of Council Regulation (EC) No 2157/2001 of October 8, 2001 on the Statute for a European company (SE) (</w:t>
      </w:r>
      <w:r>
        <w:rPr>
          <w:rFonts w:ascii="Arial" w:cs="Arial" w:eastAsia="Arial" w:hAnsi="Arial"/>
          <w:sz w:val="17"/>
          <w:szCs w:val="17"/>
          <w:i w:val="1"/>
          <w:iCs w:val="1"/>
          <w:color w:val="auto"/>
        </w:rPr>
        <w:t>Gesetz zur Ausführung der Verordnung</w:t>
      </w:r>
      <w:r>
        <w:rPr>
          <w:rFonts w:ascii="Arial" w:cs="Arial" w:eastAsia="Arial" w:hAnsi="Arial"/>
          <w:sz w:val="17"/>
          <w:szCs w:val="17"/>
          <w:color w:val="auto"/>
        </w:rPr>
        <w:t xml:space="preserve"> (EG) NR. 2157/2001 des Rates vom 8. Oktober 2001 über das Statut der Europäischen Gesellschaft (SE) (SE-</w:t>
      </w:r>
      <w:r>
        <w:rPr>
          <w:rFonts w:ascii="Arial" w:cs="Arial" w:eastAsia="Arial" w:hAnsi="Arial"/>
          <w:sz w:val="17"/>
          <w:szCs w:val="17"/>
          <w:i w:val="1"/>
          <w:iCs w:val="1"/>
          <w:color w:val="auto"/>
        </w:rPr>
        <w:t>Ausführungsgesetz</w:t>
      </w:r>
      <w:r>
        <w:rPr>
          <w:rFonts w:ascii="Arial" w:cs="Arial" w:eastAsia="Arial" w:hAnsi="Arial"/>
          <w:sz w:val="17"/>
          <w:szCs w:val="17"/>
          <w:color w:val="auto"/>
        </w:rPr>
        <w:t>—SEAG), as well as—insofar as applicable pursuant to the SE Regulation—to the German legislation on stock corporations, most importantly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In accordance with these statutes, we have chosen to have a two tiered structure. Hence, our corporate bodies are the Management Board (</w:t>
      </w:r>
      <w:r>
        <w:rPr>
          <w:rFonts w:ascii="Arial" w:cs="Arial" w:eastAsia="Arial" w:hAnsi="Arial"/>
          <w:sz w:val="17"/>
          <w:szCs w:val="17"/>
          <w:i w:val="1"/>
          <w:iCs w:val="1"/>
          <w:color w:val="auto"/>
        </w:rPr>
        <w:t>Vorstand</w:t>
      </w:r>
      <w:r>
        <w:rPr>
          <w:rFonts w:ascii="Arial" w:cs="Arial" w:eastAsia="Arial" w:hAnsi="Arial"/>
          <w:sz w:val="17"/>
          <w:szCs w:val="17"/>
          <w:color w:val="auto"/>
        </w:rPr>
        <w:t>), the Supervisory Board (</w:t>
      </w:r>
      <w:r>
        <w:rPr>
          <w:rFonts w:ascii="Arial" w:cs="Arial" w:eastAsia="Arial" w:hAnsi="Arial"/>
          <w:sz w:val="17"/>
          <w:szCs w:val="17"/>
          <w:i w:val="1"/>
          <w:iCs w:val="1"/>
          <w:color w:val="auto"/>
        </w:rPr>
        <w:t>Aufsichtsrat</w:t>
      </w:r>
      <w:r>
        <w:rPr>
          <w:rFonts w:ascii="Arial" w:cs="Arial" w:eastAsia="Arial" w:hAnsi="Arial"/>
          <w:sz w:val="17"/>
          <w:szCs w:val="17"/>
          <w:color w:val="auto"/>
        </w:rPr>
        <w:t>) and the shareholders’ meeting (</w:t>
      </w:r>
      <w:r>
        <w:rPr>
          <w:rFonts w:ascii="Arial" w:cs="Arial" w:eastAsia="Arial" w:hAnsi="Arial"/>
          <w:sz w:val="17"/>
          <w:szCs w:val="17"/>
          <w:i w:val="1"/>
          <w:iCs w:val="1"/>
          <w:color w:val="auto"/>
        </w:rPr>
        <w:t>Hauptversammlung</w:t>
      </w:r>
      <w:r>
        <w:rPr>
          <w:rFonts w:ascii="Arial" w:cs="Arial" w:eastAsia="Arial" w:hAnsi="Arial"/>
          <w:sz w:val="17"/>
          <w:szCs w:val="17"/>
          <w:color w:val="auto"/>
        </w:rPr>
        <w:t>). Our Management and Supervisory Boards are entirely separate, and, as a rule, no individual may simultaneously be a member of both boards.</w:t>
      </w:r>
    </w:p>
    <w:p>
      <w:pPr>
        <w:spacing w:after="0" w:line="178"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Our Management Board is responsible for the day-to-day management of our business in accordance with applicable laws,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and the Management Board’s internal rules of procedure (</w:t>
      </w:r>
      <w:r>
        <w:rPr>
          <w:rFonts w:ascii="Arial" w:cs="Arial" w:eastAsia="Arial" w:hAnsi="Arial"/>
          <w:sz w:val="18"/>
          <w:szCs w:val="18"/>
          <w:i w:val="1"/>
          <w:iCs w:val="1"/>
          <w:color w:val="auto"/>
        </w:rPr>
        <w:t>Geschäftsordnung</w:t>
      </w:r>
      <w:r>
        <w:rPr>
          <w:rFonts w:ascii="Arial" w:cs="Arial" w:eastAsia="Arial" w:hAnsi="Arial"/>
          <w:sz w:val="18"/>
          <w:szCs w:val="18"/>
          <w:color w:val="auto"/>
        </w:rPr>
        <w:t>). Our Management Board represents us in our dealings with third parties.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81"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Our Management Board and our Supervisory Board are solely responsible for and manage their own areas of competency (</w:t>
      </w:r>
      <w:r>
        <w:rPr>
          <w:rFonts w:ascii="Arial" w:cs="Arial" w:eastAsia="Arial" w:hAnsi="Arial"/>
          <w:sz w:val="16"/>
          <w:szCs w:val="16"/>
          <w:i w:val="1"/>
          <w:iCs w:val="1"/>
          <w:color w:val="auto"/>
        </w:rPr>
        <w:t>Kompetenztrennung</w:t>
      </w:r>
      <w:r>
        <w:rPr>
          <w:rFonts w:ascii="Arial" w:cs="Arial" w:eastAsia="Arial" w:hAnsi="Arial"/>
          <w:sz w:val="16"/>
          <w:szCs w:val="16"/>
          <w:color w:val="auto"/>
        </w:rPr>
        <w:t>); therefore, neither board may make decisions that, pursuant to applicable law, our Articles of Association or the internal rules of procedure are the responsibility of the other board. Members of both boards owe a duty of loyalty and care to us. In carrying out their duties, they are required to exercise the standard of care of a prudent and diligent businessperson. If they fail to observe the appropriate standard of care, they may become liable to us.</w:t>
      </w:r>
    </w:p>
    <w:p>
      <w:pPr>
        <w:spacing w:after="0" w:line="15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carrying out their duties, the members of both boards must take into account a broad range of considerations when making decisions, including our interests and the interests of our shareholders, employees, creditors and, to a limited extent, the general public, while respecting the rights of our shareholders to be treated on equal terms. Additionally, the Management Board is responsible for implementing an internal monitoring system for risk management purposes.</w:t>
      </w:r>
    </w:p>
    <w:p>
      <w:pPr>
        <w:spacing w:after="0" w:line="18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Supervisory Board has comprehensive monitoring responsibilities. To ensure that our Supervisory Board can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or any of its members is entitled to request special reports from the Management Board on all matters regarding the Company, our legal and business relations with affiliated companies and any business transactions and matters at such affiliated companies that may have a significant impact on our position at any time.</w:t>
      </w:r>
    </w:p>
    <w:p>
      <w:pPr>
        <w:spacing w:after="0" w:line="15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Under German law, our shareholders have no direct recourse against the members of our Management Board or the members of our Supervisory Board in the event that they are believed to have breached their duty of loyalty and care to us. Apart from insolvency or other special circumstances, only we have the right to claim damages against the members of our two boards.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waive these claims to damages or settle these claims only if at least three years have passed since a claim associated with any violation of a duty has arisen and only if our shareholders approve the waiver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00"/>
          </w:cols>
          <w:pgMar w:left="24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settlement at a shareholders’ meeting with a simple majority of the votes cast, provided that no shareholders who in the aggregate hold one-tenth or more of our share capital oppose the waiver or settlement and have their opposition formally recorded in the meeting’s minutes maintained by a German civil law notary.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Supervisory Board</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German law requires that the Supervisory Board consists of at least three members, while a company’s articles of association may stipulate a certain higher number. Our Supervisory Board currently consists of four members.</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we are not subject to co-determination, the members of our Supervisory Board are all elected by the shareholders’ meeting in accordance with the provisions of the SE Regulation and the German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 German law does not require the majority of our Supervisory Board members to be independent and neither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nor the rules of procedure for our Supervisory Board provide otherwise. However, the rules of procedure for our Supervisory Board provide that the Supervisory Board should have an independent member with expertise in the field of accounting, internal control processes and auditing.</w:t>
      </w:r>
    </w:p>
    <w:p>
      <w:pPr>
        <w:spacing w:after="0" w:line="18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Under European law, a member of a supervisory board of an SE may be elected for a maximum term to be specified in the articles of association, which must not exceed six years. Re-election, including repeated re-election, is permissible. The shareholders’ meeting may specify a term of office for individual members or all of the members of our Supervisory Board which is shorter than the standard term of office and, subject to statutory limits, may set different start and end dates for the terms of members of our Supervisory Board. Our Articles of Association provide for a term of approximately five years, depending on the date of the annual general shareholders’ meeting in the year in which the term of the relevant member is to expire.</w:t>
      </w:r>
    </w:p>
    <w:p>
      <w:pPr>
        <w:spacing w:after="0" w:line="1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shareholders’ meeting may, at the same time as it elects the members of the Supervisory Board, elect one or more substitute members. The substitute members replace members who cease to be members of our Supervisory Board and take their place for the remainder of their respective terms of office. Currently, no substitute members have been elected or have been proposed to be elected.</w:t>
      </w:r>
    </w:p>
    <w:p>
      <w:pPr>
        <w:spacing w:after="0" w:line="181"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Members of our Supervisory Board may be dismissed at any time during their term of office by a resolution of the shareholders’ meeting adopted by at least a simple majority of the votes cast. In addition, any member of our Supervisory Board may resign at any time by giving one month’s written notice—or, in the event of cause, giving written notice with immediate effect—of his or her resignation to the Management Board.</w:t>
      </w:r>
    </w:p>
    <w:p>
      <w:pPr>
        <w:spacing w:after="0" w:line="166"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Supervisory Board elects a chairperson and a deputy chairperson from its members. The deputy chairperson exercises the chairperson’s rights and obligations whenever the chairperson is unable to do so. The members of our Supervisory Board have elected Mr. Helmut Jeggle as chairperson and Dr. Ulrich Wandschneider as deputy chairperson, each for the term of their respective membership on our Supervisory Board.</w:t>
      </w:r>
    </w:p>
    <w:p>
      <w:pPr>
        <w:spacing w:after="0" w:line="14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Supervisory Board meets at least twice each calendar half-year. Our Articles of Association provide that a quorum of the Supervisory Board members is present if at least three of its members participate in the vote. Members of our Supervisory Board are deemed present if they attend the meeting via telephone or other (electronic) means of communication (including via video conference) or submit their written vote through another member. Additionally, our Articles of Association allow for resolutions to be taken via telephone or other (electronic) means of communications (including via video conference).</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Resolutions of our Supervisory Board are passed by the vote of a simple majority of the votes cast unless otherwise required by law, our Articles of Association or the rules of procedure of our Supervisory Board. In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20"/>
          </w:cols>
          <w:pgMar w:left="240" w:top="460"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event of a tie, the chairperson of the Supervisory Board has the casting vote. Our Supervisory Board is not permitted to make management decisions, but in accordance with European and German law and in addition to its statutory responsibilities, it has determined that certain matters require its prior consent, including:</w:t>
      </w:r>
    </w:p>
    <w:p>
      <w:pPr>
        <w:spacing w:after="0" w:line="87" w:lineRule="exact"/>
        <w:rPr>
          <w:sz w:val="20"/>
          <w:szCs w:val="20"/>
          <w:color w:val="auto"/>
        </w:rPr>
      </w:pPr>
    </w:p>
    <w:p>
      <w:pPr>
        <w:ind w:left="1180" w:hanging="436"/>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conducting an initial public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entering into certain large transactions;</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creating or holding any interest in businesses (except wholly-owned subsidiaries) or disposing of shares in businesses (except for a sale of JPT);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issuing shares from authorized capital, unless the shares are issued pursuant to a redemption of stock appreciation rights;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acquiring treasury shares in return for valuable consideration.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Supervisory Board Practices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Decisions are generally made by our Supervisory Board as a whole, however decisions on certain matters may be delegated to committees of our Supervisory Board to the extent permitted by law. The chairperson, or if he or she is prevented from doing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 Our Supervisory Board may designate further types of actions as requiring its approval.</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addition, each member of the Supervisory Board is obliged to carry out his or her duties and responsibilities personally, and such duties and responsibilities cannot be generally and permanently delegated to third parties. However, the Supervisory Board and its committees have the right to appoint independent experts for the review and analysis of specific circumstances in accordance with its control and supervision duties under applicable European and German law. We would bear the costs for any such independent experts that are retained by the Supervisory Board or any of its committees.</w:t>
      </w:r>
    </w:p>
    <w:p>
      <w:pPr>
        <w:spacing w:after="0" w:line="18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Pursuant to Section 107 para. 3 of the German Stock Corporation Act (</w:t>
      </w:r>
      <w:r>
        <w:rPr>
          <w:rFonts w:ascii="Arial" w:cs="Arial" w:eastAsia="Arial" w:hAnsi="Arial"/>
          <w:sz w:val="16"/>
          <w:szCs w:val="16"/>
          <w:i w:val="1"/>
          <w:iCs w:val="1"/>
          <w:color w:val="auto"/>
        </w:rPr>
        <w:t>Aktiengesetz</w:t>
      </w:r>
      <w:r>
        <w:rPr>
          <w:rFonts w:ascii="Arial" w:cs="Arial" w:eastAsia="Arial" w:hAnsi="Arial"/>
          <w:sz w:val="16"/>
          <w:szCs w:val="16"/>
          <w:color w:val="auto"/>
        </w:rPr>
        <w:t>), the supervisory board may form committees from among its members and charge them with the performance of specific tasks. The committees’ tasks, authorizations and processes are determined by the supervisory board. Where permissible by law, important powers of the supervisory board may also be transferred to committees.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By resolution, the Supervisory Board has established an Audit Committee, a Remuneration, Nominating and Governance Committee and a Capital Markets Committee. Set forth in the table below are the current members of the Audit Committee, the Remuneration, Nominating and Corporate Governance Committee and the Capital Markets Committee.</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940" w:type="dxa"/>
            <w:vAlign w:val="bottom"/>
            <w:tcBorders>
              <w:bottom w:val="single" w:sz="8" w:color="auto"/>
            </w:tcBorders>
          </w:tcPr>
          <w:p>
            <w:pPr>
              <w:ind w:left="2840"/>
              <w:spacing w:after="0"/>
              <w:rPr>
                <w:sz w:val="20"/>
                <w:szCs w:val="20"/>
                <w:color w:val="auto"/>
              </w:rPr>
            </w:pPr>
            <w:r>
              <w:rPr>
                <w:rFonts w:ascii="Arial" w:cs="Arial" w:eastAsia="Arial" w:hAnsi="Arial"/>
                <w:sz w:val="14"/>
                <w:szCs w:val="14"/>
                <w:b w:val="1"/>
                <w:bCs w:val="1"/>
                <w:color w:val="auto"/>
              </w:rPr>
              <w:t>Name of Committee</w:t>
            </w:r>
          </w:p>
        </w:tc>
        <w:tc>
          <w:tcPr>
            <w:tcW w:w="120" w:type="dxa"/>
            <w:vAlign w:val="bottom"/>
          </w:tcPr>
          <w:p>
            <w:pPr>
              <w:spacing w:after="0"/>
              <w:rPr>
                <w:sz w:val="16"/>
                <w:szCs w:val="16"/>
                <w:color w:val="auto"/>
              </w:rPr>
            </w:pPr>
          </w:p>
        </w:tc>
        <w:tc>
          <w:tcPr>
            <w:tcW w:w="396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Current Members</w:t>
            </w:r>
          </w:p>
        </w:tc>
      </w:tr>
      <w:tr>
        <w:trPr>
          <w:trHeight w:val="195"/>
        </w:trPr>
        <w:tc>
          <w:tcPr>
            <w:tcW w:w="20" w:type="dxa"/>
            <w:vAlign w:val="bottom"/>
          </w:tcPr>
          <w:p>
            <w:pPr>
              <w:spacing w:after="0"/>
              <w:rPr>
                <w:sz w:val="16"/>
                <w:szCs w:val="16"/>
                <w:color w:val="auto"/>
              </w:rPr>
            </w:pPr>
          </w:p>
        </w:tc>
        <w:tc>
          <w:tcPr>
            <w:tcW w:w="6940" w:type="dxa"/>
            <w:vAlign w:val="bottom"/>
          </w:tcPr>
          <w:p>
            <w:pPr>
              <w:spacing w:after="0" w:line="195" w:lineRule="exact"/>
              <w:rPr>
                <w:sz w:val="20"/>
                <w:szCs w:val="20"/>
                <w:color w:val="auto"/>
              </w:rPr>
            </w:pPr>
            <w:r>
              <w:rPr>
                <w:rFonts w:ascii="Arial" w:cs="Arial" w:eastAsia="Arial" w:hAnsi="Arial"/>
                <w:sz w:val="18"/>
                <w:szCs w:val="18"/>
                <w:color w:val="auto"/>
              </w:rPr>
              <w:t>Audit Committee</w:t>
            </w:r>
          </w:p>
        </w:tc>
        <w:tc>
          <w:tcPr>
            <w:tcW w:w="12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w w:val="93"/>
              </w:rPr>
              <w:t>Dr. Ulrich Wandschneider, Michael Motschmann and</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Helmut Jeggle</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Remuneration, Nominating and Corporate Governance Committee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w w:val="94"/>
              </w:rPr>
              <w:t>Michael Motschmann, Prof. Christopher Huber, M.D.</w:t>
            </w: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and Dr. Ulrich Wandschneider</w:t>
            </w: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Capital Markets Committee</w:t>
            </w:r>
          </w:p>
        </w:tc>
        <w:tc>
          <w:tcPr>
            <w:tcW w:w="4080" w:type="dxa"/>
            <w:vAlign w:val="bottom"/>
            <w:gridSpan w:val="2"/>
          </w:tcPr>
          <w:p>
            <w:pPr>
              <w:ind w:left="100"/>
              <w:spacing w:after="0"/>
              <w:rPr>
                <w:sz w:val="20"/>
                <w:szCs w:val="20"/>
                <w:color w:val="auto"/>
              </w:rPr>
            </w:pPr>
            <w:r>
              <w:rPr>
                <w:rFonts w:ascii="Arial" w:cs="Arial" w:eastAsia="Arial" w:hAnsi="Arial"/>
                <w:sz w:val="18"/>
                <w:szCs w:val="18"/>
                <w:color w:val="auto"/>
              </w:rPr>
              <w:t>Helmut Jeggle, Michael Motschmann</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Audit Committee consists of Dr. Ulrich Wandschneider, Michael Motschmann and Helmut Jeggle. Dr. Ulrich Wandschneider is the chair of the Audit Committee. The Audit Committee assists the Supervisory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240" w:top="459" w:right="4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6" w:lineRule="auto"/>
        <w:rPr>
          <w:sz w:val="20"/>
          <w:szCs w:val="20"/>
          <w:color w:val="auto"/>
        </w:rPr>
      </w:pPr>
      <w:r>
        <w:rPr>
          <w:rFonts w:ascii="Arial" w:cs="Arial" w:eastAsia="Arial" w:hAnsi="Arial"/>
          <w:sz w:val="17"/>
          <w:szCs w:val="17"/>
          <w:color w:val="auto"/>
        </w:rPr>
        <w:t>Board in overseeing the accuracy and integrity of our financial statements, our accounting and financial reporting processes and audits of our financial statements, the effective functioning of our internal control system, our risk management system, our compliance with legal and regulatory requirements, our independent auditor’s qualifications and independence, the performance of the independent auditor and the effective functioning of our internal audit functions, and, subject to certain limitations, to adopt and implement pertinent decisions on behalf of the Supervisory Board. The Audit Committee’s duties and responsibilities to carry out its purpose, include, among others:</w:t>
      </w:r>
    </w:p>
    <w:p>
      <w:pPr>
        <w:spacing w:after="0" w:line="78" w:lineRule="exact"/>
        <w:rPr>
          <w:sz w:val="20"/>
          <w:szCs w:val="20"/>
          <w:color w:val="auto"/>
        </w:rPr>
      </w:pPr>
    </w:p>
    <w:p>
      <w:pPr>
        <w:ind w:left="1180" w:hanging="436"/>
        <w:spacing w:after="0"/>
        <w:tabs>
          <w:tab w:leader="none" w:pos="11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considering the commissioning of the audit engagement, as well as the compensation, retention and oversight of the independent auditor;</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the independent auditor;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reviewing and pre-approving the audit and non-audit services to be performed by the independent auditor;</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annual audit plan, including critical accounting policies and practices to be used;</w:t>
      </w:r>
    </w:p>
    <w:p>
      <w:pPr>
        <w:spacing w:after="0" w:line="75"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adequacy and effectiveness of our internal accounting controls and critical accounting policies;</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results of our annual audit and the results of the review by our independent auditor of our quarterly unaudited financial statements;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any quarterly or annual earnings announcements;</w:t>
      </w:r>
    </w:p>
    <w:p>
      <w:pPr>
        <w:spacing w:after="0" w:line="130"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reviewing and approving, as appropriate, any related party transactions and reviewing and monitoring potential conflict of interest situations on an ongoing basis for compliance with our policies and procedures;</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overseeing procedures for the receipt, retention and treatment of complaints received regarding accounting, internal accounting controls or auditing matters;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reviewing and evaluating the performance of the Audit Committee and its members.</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Within the limits of applicable European and German law, the Audit Committee shall have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for so discharging its duties and responsibilities, without seeking approval of the Management Board or Supervisory Board. The Audit Committee has legal power to enter into the contract on our behalf and we will be bound to these and will be obliged to discharge any obligations as the Audit Committee may incur on our behalf for these purposes.</w:t>
      </w:r>
    </w:p>
    <w:p>
      <w:pPr>
        <w:spacing w:after="0" w:line="15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Dr. Wandschneider and Mr. Motschmann qualify as “independent directors” as such term is defined in Rule 10A-3 under the Exchange Act and Nasdaq Rule 5605. We intend to have a fully independent audit committee within one year from effectiveness of our initial public offering registration statement, as permitted by Rule 10A-3. Additionally, our Supervisory Board has determined that Dr. Ulrich Wandschneider qualifies as an “audit committee financial expert” as that term is defined under the Exchange Act.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Remuneration, Nominating and Corporate Governance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Remuneration, Nominating and Corporate Governance Committee consists of Michael Motschmann, Prof. Christopher Huber, M.D. and Dr.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Ulrich Wandschneider. Mr. Motschmann is the chair of the committee.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00"/>
          </w:cols>
          <w:pgMar w:left="240" w:top="460"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Remuneration, Nominating and Corporate Governance Committee’s duties and responsibilities to carry out its purpose include, among others:</w:t>
      </w:r>
    </w:p>
    <w:p>
      <w:pPr>
        <w:spacing w:after="0" w:line="142" w:lineRule="exact"/>
        <w:rPr>
          <w:sz w:val="20"/>
          <w:szCs w:val="20"/>
          <w:color w:val="auto"/>
        </w:rPr>
      </w:pPr>
    </w:p>
    <w:p>
      <w:pPr>
        <w:ind w:left="1180" w:hanging="436"/>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preparing and discussing with management policies relating to the remuneration of the members of our Management Board;</w:t>
      </w:r>
    </w:p>
    <w:p>
      <w:pPr>
        <w:spacing w:after="0" w:line="130" w:lineRule="exact"/>
        <w:rPr>
          <w:rFonts w:ascii="Arial" w:cs="Arial" w:eastAsia="Arial" w:hAnsi="Arial"/>
          <w:sz w:val="18"/>
          <w:szCs w:val="18"/>
          <w:color w:val="auto"/>
        </w:rPr>
      </w:pPr>
    </w:p>
    <w:p>
      <w:pPr>
        <w:ind w:left="1180" w:right="40" w:hanging="436"/>
        <w:spacing w:after="0" w:line="264" w:lineRule="auto"/>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reviewing and supervising corporate goals and objectives for the remuneration of the members of the Management Board, including evaluation of the performance of the members of the Management Board in light of these goals and proposals to the Supervisory Board for remuneration based on such evaluations;</w:t>
      </w:r>
    </w:p>
    <w:p>
      <w:pPr>
        <w:spacing w:after="0" w:line="86"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reviewing all equity-based compensation plans and arrangements and making recommendations to the Supervisory Board regarding such plans;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assisting with identifying and recruiting candidates to fill positions on the Management Board and the Supervisory Board;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developing, recommending to the Supervisory Board and monitoring compliance with corporate governance policies;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delegated to it, overseeing the evaluation of the Supervisory Board and reporting on its performance and effectiveness;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reviewing and evaluating the performance of the Remuneration, Nominating and Corporate Governance Committee and its members.</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Capital Markets Committee</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Our Capital Markets Committee consists of Helmut Jeggle and Michael Motschmann. Mr. Jeggle is the chair of the committee. The Capital Markets Committee advises the Supervisory Board on issues in connection with capital measures and takeover, merger and acquisition activities. Its responsibilities include the following tasks:</w:t>
      </w:r>
    </w:p>
    <w:p>
      <w:pPr>
        <w:spacing w:after="0" w:line="87" w:lineRule="exact"/>
        <w:rPr>
          <w:sz w:val="20"/>
          <w:szCs w:val="20"/>
          <w:color w:val="auto"/>
        </w:rPr>
      </w:pPr>
    </w:p>
    <w:p>
      <w:pPr>
        <w:ind w:left="1180" w:right="180" w:hanging="436"/>
        <w:spacing w:after="0" w:line="277" w:lineRule="auto"/>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overseeing the activities of the Company relating to its capital structure and capital raising, including preparation for and implementation of initial public offerings and secondary share issuances;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overseeing the activities of the Company relating to takeovers, mergers and acquisitions activities.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Remuneration of Supervisory Board Members</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Articles of Association provide for a fixed annual remuneration for each member of the Supervisory Board of €50,000 per year. However, the chairman is entitled to receive €150,000 per year and the vice chairman €75,000 per year. In addition, the chairman of the audit committee is entitled to be paid €20,000 per year. All members of the Supervisory Board are reimbursed for their expenses.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member of the Supervisory Board who serves for only a portion of a given fiscal year or who holds the position of chairman or vice chairman of the Supervisory Board or of chairman of the Audit Committee for only a portion of a given fiscal year shall only be remunerated pro rata. The same is true if the clause of the Articles of Association regarding the remuneration of the members of the Supervisory Board becomes ineffective (</w:t>
      </w:r>
      <w:r>
        <w:rPr>
          <w:rFonts w:ascii="Arial" w:cs="Arial" w:eastAsia="Arial" w:hAnsi="Arial"/>
          <w:sz w:val="18"/>
          <w:szCs w:val="18"/>
          <w:i w:val="1"/>
          <w:iCs w:val="1"/>
          <w:color w:val="auto"/>
        </w:rPr>
        <w:t>e.g</w:t>
      </w:r>
      <w:r>
        <w:rPr>
          <w:rFonts w:ascii="Arial" w:cs="Arial" w:eastAsia="Arial" w:hAnsi="Arial"/>
          <w:sz w:val="18"/>
          <w:szCs w:val="18"/>
          <w:color w:val="auto"/>
        </w:rPr>
        <w:t>., because it is repealed) during the course of a year.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case any remuneration or reimbursement of expenses is subject to value added tax, such amount shall be paid additionally by the Company.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Board and Senior Management</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Management Board consists of at least two members. Our Supervisory Board determines the exact number of members of our Management Board. Pursuant to this amendment to the Articles, the Supervisory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20"/>
          </w:cols>
          <w:pgMar w:left="240" w:top="460"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Board may also appoint a chairperson or a spokesman of the Management Board. Prof. Ugur Sahin, M.D. has been appointed chairman of the Management Board.</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members of our Management Board are appointed by our Supervisory Board for a term of up to five years. They are eligible for reappointment or extension, including repeated re-appointment and extension, after the completion of their term in office, in each case again for up to an additional five years. Under certain circumstances, such as a serious breach of duty or a vote of no confidence by the shareholders in a shareholders’ meeting, a member of the Management Board may be removed from office by our Supervisory Board prior to the expiration of his or her term.</w:t>
      </w:r>
    </w:p>
    <w:p>
      <w:pPr>
        <w:spacing w:after="0" w:line="154" w:lineRule="exact"/>
        <w:rPr>
          <w:sz w:val="20"/>
          <w:szCs w:val="20"/>
          <w:color w:val="auto"/>
        </w:rPr>
      </w:pPr>
    </w:p>
    <w:p>
      <w:pPr>
        <w:ind w:left="200" w:right="780" w:firstLine="441"/>
        <w:spacing w:after="0" w:line="259" w:lineRule="auto"/>
        <w:rPr>
          <w:sz w:val="20"/>
          <w:szCs w:val="20"/>
          <w:color w:val="auto"/>
        </w:rPr>
      </w:pPr>
      <w:r>
        <w:rPr>
          <w:rFonts w:ascii="Arial" w:cs="Arial" w:eastAsia="Arial" w:hAnsi="Arial"/>
          <w:sz w:val="18"/>
          <w:szCs w:val="18"/>
          <w:color w:val="auto"/>
        </w:rPr>
        <w:t>The members of our Management Board conduct the daily business of our company in accordance with applicable laws, our Articles of Association and the rules of procedure for the Management Board adopted by our Supervisory Board. They are generally responsible for the management of our company and for handling our daily business relations with third parties, the internal organization of our business and communications with our shareholders.</w:t>
      </w:r>
    </w:p>
    <w:p>
      <w:pPr>
        <w:spacing w:after="0" w:line="18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A member of the management board of an SE governed by German law may not deal with or vote on matters relating to proposals, arrangements or contractual agreements between himself or herself and our company, and a member of our Management Board may be liable to us if he or she has a material interest in any contractual agreement between our company and a third party which is not disclosed to and approved by our Supervisory Board.</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rules of procedure for our Management Board provide that certain matters require a resolution of the entire Management Board, in addition to transactions for which a resolution adopted by the entire Management Board is required by law or required by our Articles of Association. In particular, the entire Management Board shall decide on, among others:</w:t>
      </w:r>
    </w:p>
    <w:p>
      <w:pPr>
        <w:spacing w:after="0" w:line="87" w:lineRule="exact"/>
        <w:rPr>
          <w:sz w:val="20"/>
          <w:szCs w:val="20"/>
          <w:color w:val="auto"/>
        </w:rPr>
      </w:pPr>
    </w:p>
    <w:p>
      <w:pPr>
        <w:ind w:left="1180" w:right="220" w:hanging="436"/>
        <w:spacing w:after="0" w:line="277" w:lineRule="auto"/>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budget plan for the following year, which is to be presented by the Management Board to the Supervisory Board by December 20 of each year;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reporting to the Supervisory Board;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measures and transactions that require the Supervisory Board’s approval;</w:t>
      </w:r>
    </w:p>
    <w:p>
      <w:pPr>
        <w:spacing w:after="0" w:line="130"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all measures and transactions relating to a business area that is of extraordinary importance to the us or involving an extraordinary economic risk;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taking on new lines of business or discontinuing existing lines of business;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investments with a total value above €100,000;</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acquisitions or sales of interests or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our initial public offering;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certain large transactions.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Remuneration of the Members of Our Management Board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entered into agreements with all current members of our Management Board.</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believe that the agreements between us and the members of our Management Board provide for payments and benefits (including upon termination of employment) that are in line with customary market practice.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80"/>
          </w:cols>
          <w:pgMar w:left="240" w:top="460"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the end dates of the current service agreements of our Management Board:</w:t>
      </w:r>
    </w:p>
    <w:p>
      <w:pPr>
        <w:spacing w:after="0" w:line="131" w:lineRule="exact"/>
        <w:rPr>
          <w:sz w:val="20"/>
          <w:szCs w:val="20"/>
          <w:color w:val="auto"/>
        </w:rPr>
      </w:pPr>
    </w:p>
    <w:p>
      <w:pPr>
        <w:ind w:left="1180" w:hanging="436"/>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Prof. Ugur Sahin: December 31, 2022</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Sean Marett: September 30, 2022</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Dr. Sierk Poetting: September 30, 2022</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Dr. Özlem Türeci: May 31, 2022</w:t>
      </w:r>
    </w:p>
    <w:p>
      <w:pPr>
        <w:spacing w:after="0" w:line="225"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From January 1, 2019 until August 31, 2019, the annual base salaries for our Management Board members, Prof. Ugur Sahin, Sean Marett, Dr. Sierk Poetting and Dr. Özlem Türeci, were €230,000, €360,000, €300,000 and €300,000, respectively. Effective September 1, 2019 the annual base salaries for Prof. Ugur Sahin, Sean Marett, Dr. Sierk Poetting and Dr. Özlem Türeci are 360,000, €400,000, €360,000 and €360,000, respectively.</w:t>
      </w:r>
    </w:p>
    <w:p>
      <w:pPr>
        <w:spacing w:after="0" w:line="14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Effective September 1, 2019, we entered into new service agreements with our Management Board, which provide for short-term incentive compensation of up to a maximum of 50% of the annual base salary. The amount of such short-term incentive compensation will depend on the achievement of certain company goals in a particular fiscal year, which goals will be set uniformly for all members of the Management Board. Half of the incentive compensation will be paid promptly upon achievement of the applicable company goals, with the remaining amount payable one year later, subject to adjustment relative to our share price performance during that year. The provisions in relation to the short-term incentive compensation will take effect from the beginning of the first year after the year in which the Company’s ordinary shares or ADSs of the Company are listed on a stock exchange or other multilateral trading system, e.g., from the first year following the completion of the Offering.</w:t>
      </w:r>
    </w:p>
    <w:p>
      <w:pPr>
        <w:spacing w:after="0" w:line="17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service agreements of our Management Board provide for long-term incentive compensation in terms of a yearly grant of options to purchase ordinary shares. The options granted each year will be subject to the terms, conditions, definitions and provisions of our ESOP and the applicable option agreement thereunder. The numbers of ordinary shares as to which options will be granted each year to Prof. Ugur Sahin, Sean Marett, Dr. Sierk Poetting and Dr. Özlem Türeci are €750,000, €300,000, €300,000 and €300,000, respectively, in each case divided by the amount by which a certain target share price set by our Supervisory Board (to which the stock price must have increased in order for the options to be exercisable) exceeds the exercise price (which in the case of each grant is equal to the stock price as of the time of that grant). These provisions in relation to the long-term incentive compensation again will take effect only from the beginning of the first year after the year in which the Company’s ordinary shares or ADSs of the Company are listed on a stock exchange or other multilateral trading system.</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year ended December 31, 2018, the members of our Management Board received aggregate remuneration of €7.2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aggregate compensation and benefits provided to our Management Board in the year ended December 31, 2018.</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5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2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9"/>
              </w:rPr>
              <w:t>Prof. Ugur</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Sean</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Dr. Sierk</w:t>
            </w:r>
          </w:p>
        </w:tc>
        <w:tc>
          <w:tcPr>
            <w:tcW w:w="124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4"/>
              </w:rPr>
              <w:t>Dr. Özlem</w:t>
            </w:r>
          </w:p>
        </w:tc>
        <w:tc>
          <w:tcPr>
            <w:tcW w:w="0" w:type="dxa"/>
            <w:vAlign w:val="bottom"/>
          </w:tcPr>
          <w:p>
            <w:pPr>
              <w:spacing w:after="0"/>
              <w:rPr>
                <w:sz w:val="1"/>
                <w:szCs w:val="1"/>
                <w:color w:val="auto"/>
              </w:rPr>
            </w:pPr>
          </w:p>
        </w:tc>
      </w:tr>
      <w:tr>
        <w:trPr>
          <w:trHeight w:val="158"/>
        </w:trPr>
        <w:tc>
          <w:tcPr>
            <w:tcW w:w="4500" w:type="dxa"/>
            <w:vAlign w:val="bottom"/>
            <w:gridSpan w:val="3"/>
            <w:vMerge w:val="continue"/>
          </w:tcPr>
          <w:p>
            <w:pPr>
              <w:spacing w:after="0"/>
              <w:rPr>
                <w:sz w:val="13"/>
                <w:szCs w:val="13"/>
                <w:color w:val="auto"/>
              </w:rPr>
            </w:pPr>
          </w:p>
        </w:tc>
        <w:tc>
          <w:tcPr>
            <w:tcW w:w="32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Sahin, M.D.</w:t>
            </w:r>
          </w:p>
        </w:tc>
        <w:tc>
          <w:tcPr>
            <w:tcW w:w="9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Marett</w:t>
            </w:r>
          </w:p>
        </w:tc>
        <w:tc>
          <w:tcPr>
            <w:tcW w:w="5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Poetting</w:t>
            </w:r>
          </w:p>
        </w:tc>
        <w:tc>
          <w:tcPr>
            <w:tcW w:w="540" w:type="dxa"/>
            <w:vAlign w:val="bottom"/>
          </w:tcPr>
          <w:p>
            <w:pPr>
              <w:spacing w:after="0"/>
              <w:rPr>
                <w:sz w:val="13"/>
                <w:szCs w:val="13"/>
                <w:color w:val="auto"/>
              </w:rPr>
            </w:pPr>
          </w:p>
        </w:tc>
        <w:tc>
          <w:tcPr>
            <w:tcW w:w="7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Türeci</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Fixed Compensation</w:t>
            </w:r>
          </w:p>
        </w:tc>
        <w:tc>
          <w:tcPr>
            <w:tcW w:w="24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210</w:t>
            </w: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315</w:t>
            </w: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283</w:t>
            </w: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Fringe Benefits</w:t>
            </w:r>
            <w:r>
              <w:rPr>
                <w:rFonts w:ascii="Arial" w:cs="Arial" w:eastAsia="Arial" w:hAnsi="Arial"/>
                <w:sz w:val="15"/>
                <w:szCs w:val="15"/>
                <w:color w:val="auto"/>
              </w:rPr>
              <w:t>(2)</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ESOP Plan Granted 2018</w:t>
            </w:r>
            <w:r>
              <w:rPr>
                <w:rFonts w:ascii="Arial" w:cs="Arial" w:eastAsia="Arial" w:hAnsi="Arial"/>
                <w:sz w:val="15"/>
                <w:szCs w:val="15"/>
                <w:color w:val="auto"/>
              </w:rPr>
              <w:t>(3)</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4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5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474</w:t>
            </w:r>
          </w:p>
        </w:tc>
        <w:tc>
          <w:tcPr>
            <w:tcW w:w="5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5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82550</wp:posOffset>
            </wp:positionV>
            <wp:extent cx="7632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hanging="436"/>
        <w:spacing w:after="0"/>
        <w:tabs>
          <w:tab w:leader="none" w:pos="6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Dr. Özlem Türeci commenced employment with us on June 1, 2018.</w:t>
      </w:r>
    </w:p>
    <w:p>
      <w:pPr>
        <w:spacing w:after="0" w:line="22" w:lineRule="exact"/>
        <w:rPr>
          <w:rFonts w:ascii="Arial" w:cs="Arial" w:eastAsia="Arial" w:hAnsi="Arial"/>
          <w:sz w:val="16"/>
          <w:szCs w:val="16"/>
          <w:color w:val="auto"/>
        </w:rPr>
      </w:pPr>
    </w:p>
    <w:p>
      <w:pPr>
        <w:ind w:left="640" w:hanging="436"/>
        <w:spacing w:after="0"/>
        <w:tabs>
          <w:tab w:leader="none" w:pos="6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Includes social security, health and additional insurance, company bike and travel expenses.</w:t>
      </w:r>
    </w:p>
    <w:p>
      <w:pPr>
        <w:spacing w:after="0" w:line="18" w:lineRule="exact"/>
        <w:rPr>
          <w:rFonts w:ascii="Arial" w:cs="Arial" w:eastAsia="Arial" w:hAnsi="Arial"/>
          <w:sz w:val="16"/>
          <w:szCs w:val="16"/>
          <w:color w:val="auto"/>
        </w:rPr>
      </w:pPr>
    </w:p>
    <w:p>
      <w:pPr>
        <w:ind w:left="640" w:right="120" w:hanging="436"/>
        <w:spacing w:after="0" w:line="288" w:lineRule="auto"/>
        <w:tabs>
          <w:tab w:leader="none" w:pos="6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fair value was determined pursuant to the regulations of IFRS 2 “Share-based Payments.” This table shows the pro-rata share of personnel expenses resulting from stock-based compensation for the respective financial year.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provides an overview of the share options granted to our Management Board in the year ended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8"/>
              </w:rPr>
              <w:t>Number of Ordinary</w:t>
            </w:r>
          </w:p>
        </w:tc>
        <w:tc>
          <w:tcPr>
            <w:tcW w:w="46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 Date</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Underlying</w:t>
            </w:r>
          </w:p>
        </w:tc>
        <w:tc>
          <w:tcPr>
            <w:tcW w:w="180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Exercise Price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58"/>
        </w:trPr>
        <w:tc>
          <w:tcPr>
            <w:tcW w:w="5580" w:type="dxa"/>
            <w:vAlign w:val="bottom"/>
            <w:gridSpan w:val="3"/>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 Options</w:t>
            </w:r>
            <w:r>
              <w:rPr>
                <w:rFonts w:ascii="Arial" w:cs="Arial" w:eastAsia="Arial" w:hAnsi="Arial"/>
                <w:sz w:val="12"/>
                <w:szCs w:val="12"/>
                <w:b w:val="1"/>
                <w:bCs w:val="1"/>
                <w:color w:val="auto"/>
                <w:w w:val="92"/>
              </w:rPr>
              <w:t>(3)</w:t>
            </w:r>
          </w:p>
        </w:tc>
        <w:tc>
          <w:tcPr>
            <w:tcW w:w="460" w:type="dxa"/>
            <w:vAlign w:val="bottom"/>
          </w:tcPr>
          <w:p>
            <w:pPr>
              <w:spacing w:after="0"/>
              <w:rPr>
                <w:sz w:val="13"/>
                <w:szCs w:val="13"/>
                <w:color w:val="auto"/>
              </w:rPr>
            </w:pPr>
          </w:p>
        </w:tc>
        <w:tc>
          <w:tcPr>
            <w:tcW w:w="13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Prof. Ugur Sahin, M.D.</w:t>
            </w:r>
          </w:p>
        </w:tc>
        <w:tc>
          <w:tcPr>
            <w:tcW w:w="8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11/15/2018</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1,830,348</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10.14</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9/17/2026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Sean Marett</w:t>
            </w:r>
          </w:p>
        </w:tc>
        <w:tc>
          <w:tcPr>
            <w:tcW w:w="880" w:type="dxa"/>
            <w:vAlign w:val="bottom"/>
          </w:tcPr>
          <w:p>
            <w:pPr>
              <w:ind w:left="60"/>
              <w:spacing w:after="0"/>
              <w:rPr>
                <w:sz w:val="20"/>
                <w:szCs w:val="20"/>
                <w:color w:val="auto"/>
              </w:rPr>
            </w:pPr>
            <w:r>
              <w:rPr>
                <w:rFonts w:ascii="Arial" w:cs="Arial" w:eastAsia="Arial" w:hAnsi="Arial"/>
                <w:sz w:val="18"/>
                <w:szCs w:val="18"/>
                <w:color w:val="auto"/>
                <w:w w:val="88"/>
              </w:rPr>
              <w:t>11/15/2018</w:t>
            </w: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610,110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18"/>
                <w:szCs w:val="18"/>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9/17/2026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Sierk Poetting</w:t>
            </w:r>
          </w:p>
        </w:tc>
        <w:tc>
          <w:tcPr>
            <w:tcW w:w="8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11/15/2018</w:t>
            </w: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610,110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9/17/2026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Dr. Özlem Türeci</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11/15/2018</w:t>
            </w:r>
            <w:r>
              <w:rPr>
                <w:rFonts w:ascii="Arial" w:cs="Arial" w:eastAsia="Arial" w:hAnsi="Arial"/>
                <w:sz w:val="15"/>
                <w:szCs w:val="15"/>
                <w:color w:val="auto"/>
              </w:rPr>
              <w:t>(2)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1,952,334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46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Arial" w:cs="Arial" w:eastAsia="Arial" w:hAnsi="Arial"/>
                <w:sz w:val="18"/>
                <w:szCs w:val="18"/>
                <w:color w:val="auto"/>
                <w:w w:val="89"/>
              </w:rPr>
              <w:t>9/17/2026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5" w:lineRule="exact"/>
        <w:rPr>
          <w:sz w:val="20"/>
          <w:szCs w:val="20"/>
          <w:color w:val="auto"/>
        </w:rPr>
      </w:pPr>
    </w:p>
    <w:p>
      <w:pPr>
        <w:ind w:left="640" w:hanging="436"/>
        <w:spacing w:after="0"/>
        <w:tabs>
          <w:tab w:leader="none" w:pos="64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Except as otherwise indicated, all options fully vest on September 16, 2022.</w:t>
      </w:r>
    </w:p>
    <w:p>
      <w:pPr>
        <w:spacing w:after="0" w:line="22" w:lineRule="exact"/>
        <w:rPr>
          <w:rFonts w:ascii="Arial" w:cs="Arial" w:eastAsia="Arial" w:hAnsi="Arial"/>
          <w:sz w:val="16"/>
          <w:szCs w:val="16"/>
          <w:color w:val="auto"/>
        </w:rPr>
      </w:pPr>
    </w:p>
    <w:p>
      <w:pPr>
        <w:ind w:left="640" w:hanging="436"/>
        <w:spacing w:after="0"/>
        <w:tabs>
          <w:tab w:leader="none" w:pos="64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Options fully vested on March 16, 2019, however these options will not become exercisable until September 16, 2022.</w:t>
      </w:r>
    </w:p>
    <w:p>
      <w:pPr>
        <w:spacing w:after="0" w:line="18" w:lineRule="exact"/>
        <w:rPr>
          <w:rFonts w:ascii="Arial" w:cs="Arial" w:eastAsia="Arial" w:hAnsi="Arial"/>
          <w:sz w:val="16"/>
          <w:szCs w:val="16"/>
          <w:color w:val="auto"/>
        </w:rPr>
      </w:pPr>
    </w:p>
    <w:p>
      <w:pPr>
        <w:ind w:left="640" w:right="520" w:hanging="436"/>
        <w:spacing w:after="0" w:line="288" w:lineRule="auto"/>
        <w:tabs>
          <w:tab w:leader="none" w:pos="64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Share amounts assume an 18-for-1 stock split of our ordinary shares which became effective on September 18, 2019, upon registration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w:t>
      </w:r>
    </w:p>
    <w:p>
      <w:pPr>
        <w:spacing w:after="0" w:line="17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In September 2019, we agreed to grant Prof. Ugur Sahin, M.D., our co-founder and Chief Executive Officer, an option to purchase 4,374,963 of our ordinary shares, contingent on, and effective immediately following, the public offering, subject to Prof. Sahin’s continuous employment with us. The option will have a per share exercise price at the initial public offering price. The option will vest annually in equal installments after four years commencing on the first anniversary of our initial public offering and will be exercisable four years after our initial public offering. The option will be subject to the terms, conditions, definitions and provisions of our ESOP and the applicable option agreement thereunder.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Stock Ownership Plan</w:t>
      </w:r>
    </w:p>
    <w:p>
      <w:pPr>
        <w:spacing w:after="0" w:line="121"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Based on a pertinent authorization of the general meeting on August 18, 2017, we have established a share option program under which we grant selected employees options to receive our shares. The program is designed as an Employee Stock Ownership Plan, or ESOP. We have offered the participants a certain number of rights by explicit acceptance of the participants. The exercise of the option rights in accordance with the agreement gives the participants the right to obtain shares against payment of the exercise price. The option rights (other than Dr. Türeci’s options referred to above and the options of one other senior employee) generally fully vest after four years and can only be exercised if: (i) we have executed a public offering;</w:t>
      </w:r>
    </w:p>
    <w:p>
      <w:pPr>
        <w:spacing w:after="0" w:line="2" w:lineRule="exact"/>
        <w:rPr>
          <w:sz w:val="20"/>
          <w:szCs w:val="20"/>
          <w:color w:val="auto"/>
        </w:rPr>
      </w:pPr>
    </w:p>
    <w:p>
      <w:pPr>
        <w:ind w:left="200" w:right="200" w:firstLine="4"/>
        <w:spacing w:after="0" w:line="271" w:lineRule="auto"/>
        <w:tabs>
          <w:tab w:leader="none" w:pos="46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waiting period of four years has elapsed; and (iii) at the time of exercise, the average closing price of the shares of the Company or the average closing price of the right or certificate to be converted into an amount per share on the previous ten trading days preceding the exercise of the option right exceeds the strike price by a minimum of 32%, with this percentage increasing by eight percentage points as of the fifth anniversary of the respective issue date and as of each subsequent anniversary date. The option rights can be exercised at the latest eight years after the allocation date. If they have not been exercised by that date, they will forfeit without compensation.</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By way of shareholders’ resolution of the general meeting on August 19, 2019, the authorization to issue such option rights was amended such, that, in order for the options to be exercisable, the average closing price of the Company’s shares or the average closing price of the right or certificate to be converted into an amount per share on the ten trading days immediately preceding the exercise must exceed the strike price by a minimum of 28%, with this percentage increasing by seven percentage points as of the fifth anniversary of the issue date and as of each subsequent anniversary date. Also, in addition to the aforementioned requirements, the exercise is only possible if the share price (calculated by reference to the price of the ordinary share underlying the ADS) has performed similar to or better than the Nasdaq Biotechnology Index. The changes made do not affect option rights already issued.</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German Corporate Governance Code</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German Corporate Governance Code, or the Corporate Governance Code, was originally published by the German Federal Ministry of Justice (</w:t>
      </w:r>
      <w:r>
        <w:rPr>
          <w:rFonts w:ascii="Arial" w:cs="Arial" w:eastAsia="Arial" w:hAnsi="Arial"/>
          <w:sz w:val="18"/>
          <w:szCs w:val="18"/>
          <w:i w:val="1"/>
          <w:iCs w:val="1"/>
          <w:color w:val="auto"/>
        </w:rPr>
        <w:t>Bundesministerium der Justiz</w:t>
      </w:r>
      <w:r>
        <w:rPr>
          <w:rFonts w:ascii="Arial" w:cs="Arial" w:eastAsia="Arial" w:hAnsi="Arial"/>
          <w:sz w:val="18"/>
          <w:szCs w:val="18"/>
          <w:color w:val="auto"/>
        </w:rPr>
        <w:t>) in 2002 and was most recently amended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240" w:top="459" w:right="4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on February 7, 2017 and published in the German Federal Gazette (</w:t>
      </w:r>
      <w:r>
        <w:rPr>
          <w:rFonts w:ascii="Arial" w:cs="Arial" w:eastAsia="Arial" w:hAnsi="Arial"/>
          <w:sz w:val="17"/>
          <w:szCs w:val="17"/>
          <w:i w:val="1"/>
          <w:iCs w:val="1"/>
          <w:color w:val="auto"/>
        </w:rPr>
        <w:t>Bundesanzeiger</w:t>
      </w:r>
      <w:r>
        <w:rPr>
          <w:rFonts w:ascii="Arial" w:cs="Arial" w:eastAsia="Arial" w:hAnsi="Arial"/>
          <w:sz w:val="17"/>
          <w:szCs w:val="17"/>
          <w:color w:val="auto"/>
        </w:rPr>
        <w:t>) on April 24, 2017. The Corporate Governance Code contains recommendations (</w:t>
      </w:r>
      <w:r>
        <w:rPr>
          <w:rFonts w:ascii="Arial" w:cs="Arial" w:eastAsia="Arial" w:hAnsi="Arial"/>
          <w:sz w:val="17"/>
          <w:szCs w:val="17"/>
          <w:i w:val="1"/>
          <w:iCs w:val="1"/>
          <w:color w:val="auto"/>
        </w:rPr>
        <w:t>Empfehlungen</w:t>
      </w:r>
      <w:r>
        <w:rPr>
          <w:rFonts w:ascii="Arial" w:cs="Arial" w:eastAsia="Arial" w:hAnsi="Arial"/>
          <w:sz w:val="17"/>
          <w:szCs w:val="17"/>
          <w:color w:val="auto"/>
        </w:rPr>
        <w:t>) and suggestions (</w:t>
      </w:r>
      <w:r>
        <w:rPr>
          <w:rFonts w:ascii="Arial" w:cs="Arial" w:eastAsia="Arial" w:hAnsi="Arial"/>
          <w:sz w:val="17"/>
          <w:szCs w:val="17"/>
          <w:i w:val="1"/>
          <w:iCs w:val="1"/>
          <w:color w:val="auto"/>
        </w:rPr>
        <w:t>Anregungen</w:t>
      </w:r>
      <w:r>
        <w:rPr>
          <w:rFonts w:ascii="Arial" w:cs="Arial" w:eastAsia="Arial" w:hAnsi="Arial"/>
          <w:sz w:val="17"/>
          <w:szCs w:val="17"/>
          <w:color w:val="auto"/>
        </w:rPr>
        <w:t xml:space="preserve">) relating to the management and supervision of German companies that are listed on a stock exchange. It follows internationally and nationally recognized standards for good and responsible corporate governance. The purpose of the Corporate Governance Code is to make the German system of corporate governance transparent for investors. The Corporate Governance Code includes corporate governance recommendations and suggestions with respect to shareholders and shareholders’ meetings, the management and supervisory boards, transparency, accounting policies and auditing. While the Corporate Governance Code was originally drafted with only the German stock corporation in mind, it is perceived to be also applicable to the two-tiered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and hence to us.</w:t>
      </w:r>
    </w:p>
    <w:p>
      <w:pPr>
        <w:spacing w:after="0" w:line="178"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There is no obligation to comply with the recommendations or suggestions of the Corporate Governance Code.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requires only that the management board and supervisory board of a German company listed on a trading facility (such as a stock exchange) regulated and supervised by government authorities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w:t>
      </w:r>
      <w:r>
        <w:rPr>
          <w:rFonts w:ascii="Arial" w:cs="Arial" w:eastAsia="Arial" w:hAnsi="Arial"/>
          <w:sz w:val="17"/>
          <w:szCs w:val="17"/>
          <w:i w:val="1"/>
          <w:iCs w:val="1"/>
          <w:color w:val="auto"/>
        </w:rPr>
        <w:t>Entsprechenserklärung</w:t>
      </w:r>
      <w:r>
        <w:rPr>
          <w:rFonts w:ascii="Arial" w:cs="Arial" w:eastAsia="Arial" w:hAnsi="Arial"/>
          <w:sz w:val="17"/>
          <w:szCs w:val="17"/>
          <w:color w:val="auto"/>
        </w:rPr>
        <w:t>). In addition, a listed company is also required to state in this annual declaration whether it intends to comply with the recommendations or list the recommendations it does not plan to comply with in the future. These declarations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8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While in our opinion it is doubtful whether the above legal requirements and hence the Corporate Governance Code will apply following our listing on the Nasdaq Global Select Market, we intend to issue the annual declaration described above on a voluntary basis. Therefore, our Management Board and Supervisory Board will comply with the Corporate Governance Code except for such provisions which are explicitly listed in the annual declaration and for which they provide an explanation of non-compliance.</w:t>
      </w:r>
    </w:p>
    <w:p>
      <w:pPr>
        <w:spacing w:after="0" w:line="18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 and Conflicts of Interest Policy</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our affiliates and employees. The full text of the Code of Conduct is available on our website at https://www.biontech.de. The information and other content appearing on our website are not part of this prospectus and our website address is included in this prospectus as an inactive textual reference only. Any amendments or waivers from the provisions of the Code of Conduct for members of our Supervisory or Management Boards will be made only after approval by our Supervisory Board and will be disclosed on our website promptly following the date of such amendment or waiver.</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also adopted a Conflicts of Interest Policy which sets forth the procedures by which we manage potential and actual conflicts of interest. Under the Conflicts of Interest Policy, which applies to all of our Supervisory Board Members, Management Board members, directors of our subsidiaries and our affiliates and employees, an actual, potential or perceived conflict of interest must be disclosed as soon as a Board member, director or employee discovers the conflict. If the conflict is transactional in nature and involves a member of the Management Board or the Supervisory Board, the Management or Supervisory Board, as the case may be, with the abstention of the conflicted member, shall decide whether to approve the transaction.</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80"/>
          </w:cols>
          <w:pgMar w:left="240" w:top="459" w:right="4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In addition, we have implemented compliance policies that describe the compliance management systems that have been implemented for us and our subsidiaries. Our compliance policies are designed to ensure compliance with applicable legal requirements, while at the same time implementing high ethical standards that are mandatory for both management and each employee. The overall responsibility for the compliance management system lies with the Management Board. The Audit Committee will receive regular reports on the operation of the compliance management system.</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Private Issuer Exemptions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As a “foreign private issuer,” as defined by the SEC, although we are permitted to follow certain corporate governance practices of the Federal Republic of Germany, instead of those otherwise required under the rules of the Nasdaq Stock Market LLC, or Nasdaq,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92" w:lineRule="exact"/>
        <w:rPr>
          <w:sz w:val="20"/>
          <w:szCs w:val="20"/>
          <w:color w:val="auto"/>
        </w:rPr>
      </w:pPr>
    </w:p>
    <w:p>
      <w:pPr>
        <w:ind w:left="1180" w:right="80" w:hanging="436"/>
        <w:spacing w:after="0" w:line="277" w:lineRule="auto"/>
        <w:tabs>
          <w:tab w:leader="none" w:pos="11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10-Q and providing current reports on Form 8-K disclosing significant events within four days of their occurrence (however, we intend to furnish quarterly financial information under cover of Form 6-K);</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exemption from Section 16 rules regarding sales of ordinary shares by insiders, which will provide less data in this regard than the data provided to shareholders of U.S. companies that are subject to the Exchange Act; and</w:t>
      </w:r>
    </w:p>
    <w:p>
      <w:pPr>
        <w:spacing w:after="0" w:line="75" w:lineRule="exact"/>
        <w:rPr>
          <w:rFonts w:ascii="Arial" w:cs="Arial" w:eastAsia="Arial" w:hAnsi="Arial"/>
          <w:sz w:val="18"/>
          <w:szCs w:val="18"/>
          <w:color w:val="auto"/>
        </w:rPr>
      </w:pPr>
    </w:p>
    <w:p>
      <w:pPr>
        <w:ind w:left="1180" w:right="280" w:hanging="436"/>
        <w:spacing w:after="0" w:line="259" w:lineRule="auto"/>
        <w:tabs>
          <w:tab w:leader="none" w:pos="11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18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and the Voting Rights requirement (Rule 5640) and that we have an audit committee that satisfies Rule 5605(c)</w:t>
      </w:r>
    </w:p>
    <w:p>
      <w:pPr>
        <w:jc w:val="both"/>
        <w:ind w:left="200" w:right="140"/>
        <w:spacing w:after="0" w:line="254" w:lineRule="auto"/>
        <w:rPr>
          <w:sz w:val="20"/>
          <w:szCs w:val="20"/>
          <w:color w:val="auto"/>
        </w:rPr>
      </w:pPr>
      <w:r>
        <w:rPr>
          <w:rFonts w:ascii="Arial" w:cs="Arial" w:eastAsia="Arial" w:hAnsi="Arial"/>
          <w:sz w:val="18"/>
          <w:szCs w:val="18"/>
          <w:color w:val="auto"/>
        </w:rPr>
        <w:t>(3), consisting of committee members that meet the independence requirements of Rule 5605(c)(2)(A)(ii). Although we are permitted to follow certain corporate governance rules that conform to German requirements in lieu of many of the Nasdaq corporate governance rules, we intend to comply with the Nasdaq corporate governance rules applicable to foreign private issuers. We may utilize these exemptions for as long as we continue to qualify as a foreign private issuer.</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20"/>
          </w:cols>
          <w:pgMar w:left="240" w:top="460"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TRON</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have a longstanding relationship with Translational Oncology at the University Medical Center of the Johannes Gutenberg University Mainz (Translationale Onkologie an der Universitätsmedizin der Johannes Gutenberg Universität Mainz gemeinnützige GmbH), or TRON. TRON is a non-profit limited liability company engaged in biopharmaceutical research. Prof. Ugur Sahin, M.D., our co-founder and Chief Executive Officer, co-founded TRON and serves as Managing Director for Science and Research at TRON. Prof. Sahin has notified TRON of his intention to resign from this position with TRON, effective September 10, 2019. Additionally, Prof. Christoph Huber, a member of our Supervisory Board, served on TRON’s supervisory board until his resignation in April 2019.</w:t>
      </w:r>
    </w:p>
    <w:p>
      <w:pPr>
        <w:spacing w:after="0" w:line="19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January 1, 2015, we and certain of our subsidiaries entered into both a Master Agreement for Research Services and a License Agreement with TRON. During 2017 and 2018, we paid to TRON an aggregate of €17.7 million pursuant to these agreements. During the six months ended June 30, 2019, we paid to TRON an aggregate of €4.2 million pursuant to these agreements.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Santo Service GmbH</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several agreements with Santo Service GmbH, or Santo Service, pursuant to which Santo Service provides us with certain real property and custodial services. Santo Service is wholly owned by AT Impf GmbH, our controlling shareholder. During 2017 and 2018, we paid to Santo Service an aggregate of €8.4 million pursuant to these agreements. During the six months ended June 30, 2019, we paid to Santo Service an aggregate of €1.3 million pursuant to these agreements.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Sale and Purchase Agreement</w:t>
      </w:r>
    </w:p>
    <w:p>
      <w:pPr>
        <w:spacing w:after="0" w:line="121"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On April 26, 2016, our wholly owned subsidiary, BioNTech Small Molecules GmbH, entered into an asset sale and purchase agreement with 4SC Discovery GmbH. 4SC Discovery GmbH is a wholly owned subsidiary of 4SC AG. Certain of our investors possess a 50% shareholding in 4SC AG. Pursuant to this agreement, BioNTech Small Molecules GmbH acquired the drug discovery business of 4SC Discovery GmbH for €650,000.</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 with reBOOST Management GmbH</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On August 29, 2019, we entered into an agreement with reBOOST Management GmbH, or reBOOST, pursuant to which we will acquire all of the outstanding shares of reBOOST, which owns certain intellectual property, in exchange for total consideration of up to €300 thousand. reBOOST is wholly-owned by Prof. Ugur Sahin, M.D., our co-founder and Chief Executive Officer, who is also the Managing Director of reBOOST.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A Financing</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In February 2018, we issued an aggregate of 22,587,912 of our ordinary shares to certain new and existing shareholders at a price of $11.99 per share for aggregate proceeds of $270.9 million. The following table sets forth the aggregate number of ordinary shares that we issued and sold in this transaction to our related parties and the aggregate purchase price for such shares: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PARTICIPANTS</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ORDINARY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8"/>
        </w:trPr>
        <w:tc>
          <w:tcPr>
            <w:tcW w:w="8160" w:type="dxa"/>
            <w:vAlign w:val="bottom"/>
            <w:gridSpan w:val="3"/>
            <w:vMerge w:val="continue"/>
          </w:tcPr>
          <w:p>
            <w:pPr>
              <w:spacing w:after="0"/>
              <w:rPr>
                <w:sz w:val="13"/>
                <w:szCs w:val="13"/>
                <w:color w:val="auto"/>
              </w:rPr>
            </w:pPr>
          </w:p>
        </w:tc>
        <w:tc>
          <w:tcPr>
            <w:tcW w:w="12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SHARES (#)</w:t>
            </w: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PURCHASE PRICE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Impf GmbH</w:t>
            </w:r>
            <w:r>
              <w:rPr>
                <w:rFonts w:ascii="Arial" w:cs="Arial" w:eastAsia="Arial" w:hAnsi="Arial"/>
                <w:sz w:val="15"/>
                <w:szCs w:val="15"/>
                <w:color w:val="auto"/>
              </w:rPr>
              <w:t>(1)</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5,002,812</w:t>
            </w:r>
          </w:p>
        </w:tc>
        <w:tc>
          <w:tcPr>
            <w:tcW w:w="4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59,997,612.58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640" w:hanging="436"/>
        <w:spacing w:after="0"/>
        <w:tabs>
          <w:tab w:leader="none" w:pos="6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See “Principal Shareholders” for additional information about shares held by this entity.</w:t>
      </w:r>
    </w:p>
    <w:p>
      <w:pPr>
        <w:spacing w:after="0" w:line="16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261</w:t>
      </w:r>
    </w:p>
    <w:p>
      <w:pPr>
        <w:sectPr>
          <w:pgSz w:w="11900" w:h="16838" w:orient="portrait"/>
          <w:cols w:equalWidth="0" w:num="1">
            <w:col w:w="11240"/>
          </w:cols>
          <w:pgMar w:left="240" w:top="460" w:right="41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B 2019 Financing</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June and August 2019, we issued an aggregate of 12,465,288 of our ordinary shares (excluding 5,524,506 ordinary shares which were issued to a Hong Kong-based investor and subsequently transferred to us for no consideration) to certain new and existing shareholders at a price of $18.10 per share for aggregate proceeds of €198.6 million ($225.6 million).</w:t>
      </w:r>
    </w:p>
    <w:p>
      <w:pPr>
        <w:spacing w:after="0" w:line="18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following table sets forth the aggregate number of ordinary shares that we issued and sold in this transaction to our related parties and the aggregate purchase price for such shares: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PARTICIPANTS</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ORDINARY</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58"/>
        </w:trPr>
        <w:tc>
          <w:tcPr>
            <w:tcW w:w="8160" w:type="dxa"/>
            <w:vAlign w:val="bottom"/>
            <w:gridSpan w:val="3"/>
            <w:vMerge w:val="continue"/>
          </w:tcPr>
          <w:p>
            <w:pPr>
              <w:spacing w:after="0"/>
              <w:rPr>
                <w:sz w:val="13"/>
                <w:szCs w:val="13"/>
                <w:color w:val="auto"/>
              </w:rPr>
            </w:pPr>
          </w:p>
        </w:tc>
        <w:tc>
          <w:tcPr>
            <w:tcW w:w="13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SHARES (#)</w:t>
            </w: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 xml:space="preserve">PURCHASE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AT Impf GmbH</w:t>
            </w:r>
            <w:r>
              <w:rPr>
                <w:rFonts w:ascii="Arial" w:cs="Arial" w:eastAsia="Arial" w:hAnsi="Arial"/>
                <w:sz w:val="15"/>
                <w:szCs w:val="15"/>
                <w:color w:val="auto"/>
              </w:rPr>
              <w:t>(1)</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1,657,332</w:t>
            </w:r>
          </w:p>
        </w:tc>
        <w:tc>
          <w:tcPr>
            <w:tcW w:w="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29,999,550.68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640" w:hanging="436"/>
        <w:spacing w:after="0"/>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See “Principal Shareholders” for additional information about shares held by this entity.</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We and all of our then-existing shareholders entered into a shareholders agreement on December 29, 2017, and amended it on July 20, 2018, May 31, 2019 and August 30, 2019 (as amended, the Shareholders’ Agreement). The Shareholders’ Agreement defined the rights and obligations of the parties thereto as our shareholders and included, among other things, provisions on the composition of our supervisory and management boards, voting and approval requirements, share disposal restrictions, rights of first refusal, tag-along and drag-along rights, potential redemption procedures and anti-dilution protections. The Shareholders’ Agreement will automatically terminate upon the start of trading on a stock exchange.</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40"/>
          </w:cols>
          <w:pgMar w:left="240" w:top="459" w:right="4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The following table presents information, as of October 9, 2019, regarding the beneficial ownership of our ordinary shares (i) prior to the consummation of this offering and (ii) as adjusted to reflect the sale of our ADSs in this offering, for:</w:t>
      </w:r>
    </w:p>
    <w:p>
      <w:pPr>
        <w:spacing w:after="0" w:line="76" w:lineRule="exact"/>
        <w:rPr>
          <w:sz w:val="20"/>
          <w:szCs w:val="20"/>
          <w:color w:val="auto"/>
        </w:rPr>
      </w:pPr>
    </w:p>
    <w:p>
      <w:pPr>
        <w:ind w:left="1180" w:hanging="436"/>
        <w:spacing w:after="0"/>
        <w:tabs>
          <w:tab w:leader="none" w:pos="1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ordinary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member of our Supervisory Board;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member of our Management Board;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all members of our Supervisory Board and Management Board as a group.</w:t>
      </w:r>
    </w:p>
    <w:p>
      <w:pPr>
        <w:spacing w:after="0" w:line="225"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number of ordinary shares beneficially owned by each entity, person, and member of our Supervisory Board and our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October 9, 2019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percentage of outstanding ordinary shares before this offering is computed on the basis of 216,262,336 ordinary shares outstanding as of October 9, 2019. This amount excludes 5,524,506 shares held in treasury.</w:t>
      </w:r>
    </w:p>
    <w:p>
      <w:pPr>
        <w:spacing w:after="0" w:line="17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percentage of shares beneficially owned on an adjusted basis after this offering is based on shares to be outstanding after this offering after giving effect to the completion of this offering, assuming no exercise of the underwriters’ option to purchase additional ADSs from us, and shares to be outstanding after this offering after giving effect to the completion of this offering and assuming full exercise of the underwriters’ option to purchase additional ADSs from us. Ordinary shares that a person has the right to acquire within 60 days of October 9, 2019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our Management Board as a group. Unless otherwise indicated, the address for each beneficial owner is An der Goldgrube 12, D-55131 Mainz, Germany.</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Assuming Full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w w:val="98"/>
              </w:rPr>
              <w:t>Shares Beneficially Owned</w:t>
            </w:r>
          </w:p>
        </w:tc>
        <w:tc>
          <w:tcPr>
            <w:tcW w:w="22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8"/>
              </w:rPr>
              <w:t>Shares Beneficially Owned</w:t>
            </w:r>
          </w:p>
        </w:tc>
        <w:tc>
          <w:tcPr>
            <w:tcW w:w="2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Shareholder</w:t>
            </w:r>
          </w:p>
        </w:tc>
        <w:tc>
          <w:tcPr>
            <w:tcW w:w="2480" w:type="dxa"/>
            <w:vAlign w:val="bottom"/>
            <w:gridSpan w:val="4"/>
            <w:vMerge w:val="continue"/>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gridSpan w:val="2"/>
            <w:vMerge w:val="continue"/>
          </w:tcPr>
          <w:p>
            <w:pPr>
              <w:spacing w:after="0"/>
              <w:rPr>
                <w:sz w:val="14"/>
                <w:szCs w:val="14"/>
                <w:color w:val="auto"/>
              </w:rPr>
            </w:pPr>
          </w:p>
        </w:tc>
        <w:tc>
          <w:tcPr>
            <w:tcW w:w="24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before This Offering</w:t>
            </w:r>
          </w:p>
        </w:tc>
        <w:tc>
          <w:tcPr>
            <w:tcW w:w="22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after This Offering</w:t>
            </w:r>
          </w:p>
        </w:tc>
        <w:tc>
          <w:tcPr>
            <w:tcW w:w="2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Additional Shares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12"/>
                <w:szCs w:val="12"/>
                <w:color w:val="auto"/>
              </w:rPr>
            </w:pPr>
          </w:p>
        </w:tc>
        <w:tc>
          <w:tcPr>
            <w:tcW w:w="14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Shareholders</w:t>
            </w:r>
          </w:p>
        </w:tc>
        <w:tc>
          <w:tcPr>
            <w:tcW w:w="9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AT Impf GmbH</w:t>
            </w:r>
            <w:r>
              <w:rPr>
                <w:rFonts w:ascii="Arial" w:cs="Arial" w:eastAsia="Arial" w:hAnsi="Arial"/>
                <w:sz w:val="15"/>
                <w:szCs w:val="15"/>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111,341,520</w:t>
            </w:r>
          </w:p>
        </w:tc>
        <w:tc>
          <w:tcPr>
            <w:tcW w:w="4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51.48%</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114,141,520</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50.45%</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Medine GmbH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41,690,970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41,690,970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Entities affiliated with MIG GmbH &amp; Co.</w:t>
            </w:r>
            <w:r>
              <w:rPr>
                <w:rFonts w:ascii="Arial" w:cs="Arial" w:eastAsia="Arial" w:hAnsi="Arial"/>
                <w:sz w:val="15"/>
                <w:szCs w:val="15"/>
                <w:color w:val="auto"/>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13,556,106</w:t>
            </w:r>
          </w:p>
        </w:tc>
        <w:tc>
          <w:tcPr>
            <w:tcW w:w="42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6.27%</w:t>
            </w:r>
          </w:p>
        </w:tc>
        <w:tc>
          <w:tcPr>
            <w:tcW w:w="980" w:type="dxa"/>
            <w:vAlign w:val="bottom"/>
          </w:tcPr>
          <w:p>
            <w:pPr>
              <w:jc w:val="right"/>
              <w:spacing w:after="0"/>
              <w:rPr>
                <w:sz w:val="20"/>
                <w:szCs w:val="20"/>
                <w:color w:val="auto"/>
              </w:rPr>
            </w:pPr>
            <w:r>
              <w:rPr>
                <w:rFonts w:ascii="Arial" w:cs="Arial" w:eastAsia="Arial" w:hAnsi="Arial"/>
                <w:sz w:val="18"/>
                <w:szCs w:val="18"/>
                <w:color w:val="auto"/>
              </w:rPr>
              <w:t>13,556,106</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5.99%</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r>
              <w:rPr>
                <w:rFonts w:ascii="Arial" w:cs="Arial" w:eastAsia="Arial" w:hAnsi="Arial"/>
                <w:sz w:val="15"/>
                <w:szCs w:val="15"/>
                <w:color w:val="auto"/>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10,889,676</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12,718,257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263</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Assuming Full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w w:val="98"/>
              </w:rPr>
              <w:t>Shares Beneficially Owned</w:t>
            </w:r>
          </w:p>
        </w:tc>
        <w:tc>
          <w:tcPr>
            <w:tcW w:w="228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8"/>
              </w:rPr>
              <w:t>Shares Beneficially Owned</w:t>
            </w:r>
          </w:p>
        </w:tc>
        <w:tc>
          <w:tcPr>
            <w:tcW w:w="20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Shareholder</w:t>
            </w:r>
          </w:p>
        </w:tc>
        <w:tc>
          <w:tcPr>
            <w:tcW w:w="2480" w:type="dxa"/>
            <w:vAlign w:val="bottom"/>
            <w:gridSpan w:val="4"/>
            <w:vMerge w:val="continue"/>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gridSpan w:val="2"/>
            <w:vMerge w:val="continue"/>
          </w:tcPr>
          <w:p>
            <w:pPr>
              <w:spacing w:after="0"/>
              <w:rPr>
                <w:sz w:val="14"/>
                <w:szCs w:val="14"/>
                <w:color w:val="auto"/>
              </w:rPr>
            </w:pPr>
          </w:p>
        </w:tc>
        <w:tc>
          <w:tcPr>
            <w:tcW w:w="24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before This Offering</w:t>
            </w:r>
          </w:p>
        </w:tc>
        <w:tc>
          <w:tcPr>
            <w:tcW w:w="22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after This Offering</w:t>
            </w:r>
          </w:p>
        </w:tc>
        <w:tc>
          <w:tcPr>
            <w:tcW w:w="2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Additional Shares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Number</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12"/>
                <w:szCs w:val="12"/>
                <w:color w:val="auto"/>
              </w:rPr>
            </w:pPr>
          </w:p>
        </w:tc>
        <w:tc>
          <w:tcPr>
            <w:tcW w:w="14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4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Members of the Supervisory Board and the</w:t>
            </w:r>
          </w:p>
        </w:tc>
        <w:tc>
          <w:tcPr>
            <w:tcW w:w="10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Management Board</w:t>
            </w: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Prof. Ugur Sahin, M.D.</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41,690,970</w:t>
            </w:r>
          </w:p>
        </w:tc>
        <w:tc>
          <w:tcPr>
            <w:tcW w:w="4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19.28%</w:t>
            </w:r>
          </w:p>
        </w:tc>
        <w:tc>
          <w:tcPr>
            <w:tcW w:w="980" w:type="dxa"/>
            <w:vAlign w:val="bottom"/>
          </w:tcPr>
          <w:p>
            <w:pPr>
              <w:jc w:val="right"/>
              <w:spacing w:after="0"/>
              <w:rPr>
                <w:sz w:val="20"/>
                <w:szCs w:val="20"/>
                <w:color w:val="auto"/>
              </w:rPr>
            </w:pPr>
            <w:r>
              <w:rPr>
                <w:rFonts w:ascii="Arial" w:cs="Arial" w:eastAsia="Arial" w:hAnsi="Arial"/>
                <w:sz w:val="18"/>
                <w:szCs w:val="18"/>
                <w:color w:val="auto"/>
              </w:rPr>
              <w:t>41,690,970</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18.43%</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Marett</w:t>
            </w:r>
            <w:r>
              <w:rPr>
                <w:rFonts w:ascii="Arial" w:cs="Arial" w:eastAsia="Arial" w:hAnsi="Arial"/>
                <w:sz w:val="15"/>
                <w:szCs w:val="15"/>
                <w:color w:val="auto"/>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1,091,502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1,091,502</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Dr. Sierk Poetting</w:t>
            </w:r>
            <w:r>
              <w:rPr>
                <w:rFonts w:ascii="Arial" w:cs="Arial" w:eastAsia="Arial" w:hAnsi="Arial"/>
                <w:sz w:val="15"/>
                <w:szCs w:val="15"/>
                <w:color w:val="auto"/>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711,828</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711,828</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Özlem Türeci</w:t>
            </w:r>
          </w:p>
        </w:tc>
        <w:tc>
          <w:tcPr>
            <w:tcW w:w="1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Helmut Jeggle</w:t>
            </w:r>
            <w:r>
              <w:rPr>
                <w:rFonts w:ascii="Arial" w:cs="Arial" w:eastAsia="Arial" w:hAnsi="Arial"/>
                <w:sz w:val="15"/>
                <w:szCs w:val="15"/>
                <w:color w:val="auto"/>
              </w:rPr>
              <w:t>(7)</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113,947,722</w:t>
            </w:r>
          </w:p>
        </w:tc>
        <w:tc>
          <w:tcPr>
            <w:tcW w:w="4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52.69%</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116,466,625</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51.47%</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Motschmann</w:t>
            </w:r>
            <w:r>
              <w:rPr>
                <w:rFonts w:ascii="Arial" w:cs="Arial" w:eastAsia="Arial" w:hAnsi="Arial"/>
                <w:sz w:val="15"/>
                <w:szCs w:val="15"/>
                <w:color w:val="auto"/>
              </w:rPr>
              <w:t>(8)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13,556,106</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13,556,106</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Prof. Christoph Huber, M.D.</w:t>
            </w:r>
            <w:r>
              <w:rPr>
                <w:rFonts w:ascii="Arial" w:cs="Arial" w:eastAsia="Arial" w:hAnsi="Arial"/>
                <w:sz w:val="15"/>
                <w:szCs w:val="15"/>
                <w:color w:val="auto"/>
              </w:rPr>
              <w:t>(9)</w:t>
            </w:r>
          </w:p>
        </w:tc>
        <w:tc>
          <w:tcPr>
            <w:tcW w:w="1000" w:type="dxa"/>
            <w:vAlign w:val="bottom"/>
          </w:tcPr>
          <w:p>
            <w:pPr>
              <w:jc w:val="right"/>
              <w:spacing w:after="0"/>
              <w:rPr>
                <w:sz w:val="20"/>
                <w:szCs w:val="20"/>
                <w:color w:val="auto"/>
              </w:rPr>
            </w:pPr>
            <w:r>
              <w:rPr>
                <w:rFonts w:ascii="Arial" w:cs="Arial" w:eastAsia="Arial" w:hAnsi="Arial"/>
                <w:sz w:val="18"/>
                <w:szCs w:val="18"/>
                <w:color w:val="auto"/>
              </w:rPr>
              <w:t>2,552,040</w:t>
            </w:r>
          </w:p>
        </w:tc>
        <w:tc>
          <w:tcPr>
            <w:tcW w:w="4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1.18%</w:t>
            </w:r>
          </w:p>
        </w:tc>
        <w:tc>
          <w:tcPr>
            <w:tcW w:w="980" w:type="dxa"/>
            <w:vAlign w:val="bottom"/>
          </w:tcPr>
          <w:p>
            <w:pPr>
              <w:jc w:val="right"/>
              <w:spacing w:after="0"/>
              <w:rPr>
                <w:sz w:val="20"/>
                <w:szCs w:val="20"/>
                <w:color w:val="auto"/>
              </w:rPr>
            </w:pPr>
            <w:r>
              <w:rPr>
                <w:rFonts w:ascii="Arial" w:cs="Arial" w:eastAsia="Arial" w:hAnsi="Arial"/>
                <w:sz w:val="18"/>
                <w:szCs w:val="18"/>
                <w:color w:val="auto"/>
              </w:rPr>
              <w:t>2,552,040</w:t>
            </w:r>
          </w:p>
        </w:tc>
        <w:tc>
          <w:tcPr>
            <w:tcW w:w="4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Ulrich Wandschneider</w:t>
            </w:r>
            <w:r>
              <w:rPr>
                <w:rFonts w:ascii="Arial" w:cs="Arial" w:eastAsia="Arial" w:hAnsi="Arial"/>
                <w:sz w:val="15"/>
                <w:szCs w:val="15"/>
                <w:color w:val="auto"/>
              </w:rPr>
              <w:t>(10)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gridSpan w:val="2"/>
          </w:tcPr>
          <w:p>
            <w:pPr>
              <w:spacing w:after="0" w:line="201" w:lineRule="exact"/>
              <w:rPr>
                <w:sz w:val="20"/>
                <w:szCs w:val="20"/>
                <w:color w:val="auto"/>
              </w:rPr>
            </w:pPr>
            <w:r>
              <w:rPr>
                <w:rFonts w:ascii="Arial" w:cs="Arial" w:eastAsia="Arial" w:hAnsi="Arial"/>
                <w:sz w:val="18"/>
                <w:szCs w:val="18"/>
                <w:color w:val="auto"/>
              </w:rPr>
              <w:t>All members of our Supervisory Board and Management</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ind w:left="160"/>
              <w:spacing w:after="0"/>
              <w:rPr>
                <w:sz w:val="20"/>
                <w:szCs w:val="20"/>
                <w:color w:val="auto"/>
              </w:rPr>
            </w:pPr>
            <w:r>
              <w:rPr>
                <w:rFonts w:ascii="Arial" w:cs="Arial" w:eastAsia="Arial" w:hAnsi="Arial"/>
                <w:sz w:val="18"/>
                <w:szCs w:val="18"/>
                <w:color w:val="auto"/>
              </w:rPr>
              <w:t>Board, as a group</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173,554,848</w:t>
            </w:r>
          </w:p>
        </w:tc>
        <w:tc>
          <w:tcPr>
            <w:tcW w:w="42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80.25%</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176,073,751</w:t>
            </w:r>
          </w:p>
        </w:tc>
        <w:tc>
          <w:tcPr>
            <w:tcW w:w="4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77.82%</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3" w:lineRule="exact"/>
        <w:rPr>
          <w:sz w:val="20"/>
          <w:szCs w:val="20"/>
          <w:color w:val="auto"/>
        </w:rPr>
      </w:pPr>
    </w:p>
    <w:p>
      <w:pPr>
        <w:ind w:left="640" w:hanging="436"/>
        <w:spacing w:after="0"/>
        <w:tabs>
          <w:tab w:leader="none" w:pos="6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640" w:right="220" w:hanging="436"/>
        <w:spacing w:after="0" w:line="281" w:lineRule="auto"/>
        <w:tabs>
          <w:tab w:leader="none" w:pos="6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Consists of 114,141,520 ordinary shares held by AT Impf GmbH. Members of the Strüngmann family wholly own AT Impf GmbH. Includes 2,800,000 ordinary shares represented by ADSs that AT Impf has indicated an interest in purchasing in this offering. Dr. Andreas Strüngmann and Dr. Thomas Strüngmann may be deemed to beneficially own any or all of these shares. In addition, after the closing of the offering and assuming the maximum number of ADSs specified above are purchased, on a fully diluted basis (which gives effect to full physical settlement of 11,882,124 ordinary shares issuable upon the exercise of options outstanding as of June 30, 2019) AT Impf would own 47.93% of our total outstanding ordinary shares.</w:t>
      </w:r>
    </w:p>
    <w:p>
      <w:pPr>
        <w:spacing w:after="0" w:line="3" w:lineRule="exact"/>
        <w:rPr>
          <w:rFonts w:ascii="Arial" w:cs="Arial" w:eastAsia="Arial" w:hAnsi="Arial"/>
          <w:sz w:val="15"/>
          <w:szCs w:val="15"/>
          <w:color w:val="auto"/>
        </w:rPr>
      </w:pPr>
    </w:p>
    <w:p>
      <w:pPr>
        <w:ind w:left="640" w:right="60" w:hanging="436"/>
        <w:spacing w:after="0" w:line="264" w:lineRule="auto"/>
        <w:tabs>
          <w:tab w:leader="none" w:pos="6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Consists of (a) 5,495,148 ordinary shares held by MIG GmbH &amp; Co. Fonds 7 KG, Munich, (b) 1,780,002 ordinary shares held by MIG GmbH &amp; Co. Fonds 8 KG, Munich and (c) 6,280,956 ordinary shares held by MIG GmbH &amp; Co. Fonds 9 KG, Munich.</w:t>
      </w:r>
    </w:p>
    <w:p>
      <w:pPr>
        <w:ind w:left="640" w:right="40" w:hanging="436"/>
        <w:spacing w:after="0" w:line="281" w:lineRule="auto"/>
        <w:tabs>
          <w:tab w:leader="none" w:pos="6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Consists of 3,351,258 ordinary shares held by Fidelity Mt. Vernon Street Trust: Fidelity Growth Company Fund, 2,478,636 ordinary shares held by Fidelity Growth Company Commingled Pool, 1,638,432 ordinary shares held by Fidelity Select Portfolios:Health Care Portfolio, 898,650 ordinary shares held by Fidelity Advisor Series VII:Fidelity Advisor Health Care Fund, 825,102 ordinary shares held by Fidelity Mt. Vernon Street Trust: Fidelity Series Growth Company Fund, 580,752 ordinary shares held by Fidelity Central Investment Portfolios LLC:Fidelity Health Care Central Fund, 397,530 ordinary shares held by Variable Insurance Products Fund:Growth Portfolio, 234,612 ordinary shares held by Fidelity Advisor Series I: Fidelity Advisor Equity Growth Fund, 186,138 ordinary shares held by Variable Insurance Products Fund IV:Health Care Portfolio, 129,132 ordinary shares held by Fidelity Hastings Street Trust:Fidelity Growth Discovery Fund, 96,948 ordinary shares held by Fidelity Select Portfolios: Pharmaceuticals Portfolio, 69,642 ordinary shares held by Fidelity Advisor Series Equity Growth Fund and 2,844 ordinary shares held by Fidelity Funds - Equity Growth. Includes 1,828,521 ordinary shares represented by ADSs that FMR LLC has indicated an interest in purchasing in this offering.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11" w:lineRule="exact"/>
        <w:rPr>
          <w:rFonts w:ascii="Arial" w:cs="Arial" w:eastAsia="Arial" w:hAnsi="Arial"/>
          <w:sz w:val="15"/>
          <w:szCs w:val="15"/>
          <w:color w:val="auto"/>
        </w:rPr>
      </w:pPr>
    </w:p>
    <w:p>
      <w:pPr>
        <w:ind w:left="640" w:hanging="436"/>
        <w:spacing w:after="0"/>
        <w:tabs>
          <w:tab w:leader="none" w:pos="6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Consists of the shares described in note 2 above. Prof. Sahin is the sole shareholder of Medine GmbH.</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240"/>
          </w:cols>
          <w:pgMar w:left="240" w:top="459" w:right="41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40" w:hanging="436"/>
        <w:spacing w:after="0"/>
        <w:tabs>
          <w:tab w:leader="none" w:pos="6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Consists of 1,091,502 ordinary shares held by RLG GmbH. Mr. Marett is the sole shareholder of RLG GmbH.</w:t>
      </w:r>
    </w:p>
    <w:p>
      <w:pPr>
        <w:spacing w:after="0" w:line="22" w:lineRule="exact"/>
        <w:rPr>
          <w:rFonts w:ascii="Arial" w:cs="Arial" w:eastAsia="Arial" w:hAnsi="Arial"/>
          <w:sz w:val="16"/>
          <w:szCs w:val="16"/>
          <w:color w:val="auto"/>
        </w:rPr>
      </w:pPr>
    </w:p>
    <w:p>
      <w:pPr>
        <w:ind w:left="640" w:right="40" w:hanging="436"/>
        <w:spacing w:after="0" w:line="264" w:lineRule="auto"/>
        <w:tabs>
          <w:tab w:leader="none" w:pos="6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Consists of 711,828 shares held by Tofino GmbH. Does not include 487,800 shares held on behalf of other beneficial owners in his capacity as trustee of Tofino GmbH.</w:t>
      </w:r>
    </w:p>
    <w:p>
      <w:pPr>
        <w:ind w:left="640" w:hanging="436"/>
        <w:spacing w:after="0" w:line="264" w:lineRule="auto"/>
        <w:tabs>
          <w:tab w:leader="none" w:pos="6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Consists of (a) the shares described in note 1 above, (b) 332,316 ordinary shares held directly by Mr. Jeggle and (c) 2,273, 886 ordinary shares held by Salvia GmbH. Includes 51,219 ordinary shares represented by ADSs that Mr. Jeggle has indicated an interest in purchasing in this offering. Mr. Jeggle has no voting or dispositive power with regard to such shares described in note 1 above and in clause (c) of this note and disclaims beneficial ownership of such shares except to the extent of his pecuniary interest therein.</w:t>
      </w:r>
    </w:p>
    <w:p>
      <w:pPr>
        <w:ind w:left="640" w:right="480" w:hanging="436"/>
        <w:spacing w:after="0" w:line="264" w:lineRule="auto"/>
        <w:tabs>
          <w:tab w:leader="none" w:pos="6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Consists of the shares described in note 3 above. Mr. Motschmann has no voting or dispositive power with regard to such shares and disclaims beneficial ownership of such shares except to the extent of his pecuniary interest therein.</w:t>
      </w:r>
    </w:p>
    <w:p>
      <w:pPr>
        <w:ind w:left="640" w:hanging="436"/>
        <w:spacing w:after="0"/>
        <w:tabs>
          <w:tab w:leader="none" w:pos="6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Consists of 2,552,040 ordinary shares held by CHuber 2008 GmbH. Prof. Huber is the sole shareholder of CHuber 2008 GmbH.</w:t>
      </w:r>
    </w:p>
    <w:p>
      <w:pPr>
        <w:spacing w:after="0" w:line="18" w:lineRule="exact"/>
        <w:rPr>
          <w:rFonts w:ascii="Arial" w:cs="Arial" w:eastAsia="Arial" w:hAnsi="Arial"/>
          <w:sz w:val="16"/>
          <w:szCs w:val="16"/>
          <w:color w:val="auto"/>
        </w:rPr>
      </w:pPr>
    </w:p>
    <w:p>
      <w:pPr>
        <w:ind w:left="640" w:hanging="436"/>
        <w:spacing w:after="0"/>
        <w:tabs>
          <w:tab w:leader="none" w:pos="6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Consists of 4,680 shares held by Tofino GmbH.</w:t>
      </w:r>
    </w:p>
    <w:p>
      <w:pPr>
        <w:spacing w:after="0" w:line="3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Holdings by U.S. Shareholders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Prior to the completion of this offering, we estimate that approximately 8.97% of our outstanding ordinary shares were held by 26 U.S. record holders.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040"/>
          </w:cols>
          <w:pgMar w:left="240" w:top="460" w:right="61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DESCRIPTION OF SHARE CAPITAL AND ARTICLES OF ASSOCIATION (</w:t>
      </w:r>
      <w:r>
        <w:rPr>
          <w:rFonts w:ascii="Arial" w:cs="Arial" w:eastAsia="Arial" w:hAnsi="Arial"/>
          <w:sz w:val="18"/>
          <w:szCs w:val="18"/>
          <w:b w:val="1"/>
          <w:bCs w:val="1"/>
          <w:i w:val="1"/>
          <w:iCs w:val="1"/>
          <w:color w:val="auto"/>
        </w:rPr>
        <w:t>SATZUNG</w:t>
      </w:r>
      <w:r>
        <w:rPr>
          <w:rFonts w:ascii="Arial" w:cs="Arial" w:eastAsia="Arial" w:hAnsi="Arial"/>
          <w:sz w:val="18"/>
          <w:szCs w:val="18"/>
          <w:b w:val="1"/>
          <w:bCs w:val="1"/>
          <w:color w:val="auto"/>
        </w:rPr>
        <w: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were incorporated as a German stock corporation (</w:t>
      </w:r>
      <w:r>
        <w:rPr>
          <w:rFonts w:ascii="Arial" w:cs="Arial" w:eastAsia="Arial" w:hAnsi="Arial"/>
          <w:sz w:val="17"/>
          <w:szCs w:val="17"/>
          <w:i w:val="1"/>
          <w:iCs w:val="1"/>
          <w:color w:val="auto"/>
        </w:rPr>
        <w:t>Aktiengesellschaft</w:t>
      </w:r>
      <w:r>
        <w:rPr>
          <w:rFonts w:ascii="Arial" w:cs="Arial" w:eastAsia="Arial" w:hAnsi="Arial"/>
          <w:sz w:val="17"/>
          <w:szCs w:val="17"/>
          <w:color w:val="auto"/>
        </w:rPr>
        <w:t>) with the legal name Petersberg 91. V V AG under the laws of the Federal Republic of Germany on June 2, 2008. We changed our name to BioNTech AG on December 11, 2008. Effective as of March 8, 2019, the date on which the change of legal form and company was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xml:space="preserve">) of Mainz, Germany, we converted to a </w:t>
      </w:r>
      <w:r>
        <w:rPr>
          <w:rFonts w:ascii="Arial" w:cs="Arial" w:eastAsia="Arial" w:hAnsi="Arial"/>
          <w:sz w:val="17"/>
          <w:szCs w:val="17"/>
          <w:i w:val="1"/>
          <w:iCs w:val="1"/>
          <w:color w:val="auto"/>
        </w:rPr>
        <w:t>Societas Europaea</w:t>
      </w:r>
      <w:r>
        <w:rPr>
          <w:rFonts w:ascii="Arial" w:cs="Arial" w:eastAsia="Arial" w:hAnsi="Arial"/>
          <w:sz w:val="17"/>
          <w:szCs w:val="17"/>
          <w:color w:val="auto"/>
        </w:rPr>
        <w:t xml:space="preserve"> with the legal name BioNTech SE.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Arial" w:cs="Arial" w:eastAsia="Arial" w:hAnsi="Arial"/>
          <w:sz w:val="17"/>
          <w:szCs w:val="17"/>
          <w:i w:val="1"/>
          <w:iCs w:val="1"/>
          <w:color w:val="auto"/>
        </w:rPr>
        <w:t>Gesetz zur Ausführung</w:t>
      </w:r>
      <w:r>
        <w:rPr>
          <w:rFonts w:ascii="Arial" w:cs="Arial" w:eastAsia="Arial" w:hAnsi="Arial"/>
          <w:sz w:val="17"/>
          <w:szCs w:val="17"/>
          <w:color w:val="auto"/>
        </w:rPr>
        <w:t xml:space="preserve"> </w:t>
      </w:r>
      <w:r>
        <w:rPr>
          <w:rFonts w:ascii="Arial" w:cs="Arial" w:eastAsia="Arial" w:hAnsi="Arial"/>
          <w:sz w:val="17"/>
          <w:szCs w:val="17"/>
          <w:i w:val="1"/>
          <w:iCs w:val="1"/>
          <w:color w:val="auto"/>
        </w:rPr>
        <w:t>der Verordnung (EG) NR. 2157/2001 des Rates vom 8. Oktober 2001 über das Statut der Europäischen Gesellschaft (SE) (SE-Ausführungsgesetz—SEAG)</w:t>
      </w:r>
      <w:r>
        <w:rPr>
          <w:rFonts w:ascii="Arial" w:cs="Arial" w:eastAsia="Arial" w:hAnsi="Arial"/>
          <w:sz w:val="17"/>
          <w:szCs w:val="17"/>
          <w:color w:val="auto"/>
        </w:rPr>
        <w:t>) and the German Stock Corporation Act (</w:t>
      </w:r>
      <w:r>
        <w:rPr>
          <w:rFonts w:ascii="Arial" w:cs="Arial" w:eastAsia="Arial" w:hAnsi="Arial"/>
          <w:sz w:val="17"/>
          <w:szCs w:val="17"/>
          <w:i w:val="1"/>
          <w:iCs w:val="1"/>
          <w:color w:val="auto"/>
        </w:rPr>
        <w:t>Aktiengesetz</w:t>
      </w:r>
      <w:r>
        <w:rPr>
          <w:rFonts w:ascii="Arial" w:cs="Arial" w:eastAsia="Arial" w:hAnsi="Arial"/>
          <w:sz w:val="17"/>
          <w:szCs w:val="17"/>
          <w:color w:val="auto"/>
        </w:rPr>
        <w:t>), in each case as amended.</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are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of the local court (</w:t>
      </w:r>
      <w:r>
        <w:rPr>
          <w:rFonts w:ascii="Arial" w:cs="Arial" w:eastAsia="Arial" w:hAnsi="Arial"/>
          <w:sz w:val="17"/>
          <w:szCs w:val="17"/>
          <w:i w:val="1"/>
          <w:iCs w:val="1"/>
          <w:color w:val="auto"/>
        </w:rPr>
        <w:t>Amtsgericht</w:t>
      </w:r>
      <w:r>
        <w:rPr>
          <w:rFonts w:ascii="Arial" w:cs="Arial" w:eastAsia="Arial" w:hAnsi="Arial"/>
          <w:sz w:val="17"/>
          <w:szCs w:val="17"/>
          <w:color w:val="auto"/>
        </w:rPr>
        <w:t>) in Mainz, Germany, under number HRB 48720. Our statutory seat is in Mainz, Germany, and our registered office is An der Goldgrube 12, 55131 Mainz, Germany. Copies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will be publicly available from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at the local court of Mainz, Germany, electronically at www.unternehmensregister.de and as an exhibit to the registration statement of which this prospectus forms a part.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have share capital registered in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in the amount of €221,786,842, which is divided into 221,786,842 registered shares (</w:t>
      </w:r>
      <w:r>
        <w:rPr>
          <w:rFonts w:ascii="Arial" w:cs="Arial" w:eastAsia="Arial" w:hAnsi="Arial"/>
          <w:sz w:val="18"/>
          <w:szCs w:val="18"/>
          <w:i w:val="1"/>
          <w:iCs w:val="1"/>
          <w:color w:val="auto"/>
        </w:rPr>
        <w:t>Namensaktien</w:t>
      </w:r>
      <w:r>
        <w:rPr>
          <w:rFonts w:ascii="Arial" w:cs="Arial" w:eastAsia="Arial" w:hAnsi="Arial"/>
          <w:sz w:val="18"/>
          <w:szCs w:val="18"/>
          <w:color w:val="auto"/>
        </w:rPr>
        <w:t>). All shares are shares with no par value (</w:t>
      </w:r>
      <w:r>
        <w:rPr>
          <w:rFonts w:ascii="Arial" w:cs="Arial" w:eastAsia="Arial" w:hAnsi="Arial"/>
          <w:sz w:val="18"/>
          <w:szCs w:val="18"/>
          <w:i w:val="1"/>
          <w:iCs w:val="1"/>
          <w:color w:val="auto"/>
        </w:rPr>
        <w:t>Stückaktien ohne Nennbetrag</w:t>
      </w:r>
      <w:r>
        <w:rPr>
          <w:rFonts w:ascii="Arial" w:cs="Arial" w:eastAsia="Arial" w:hAnsi="Arial"/>
          <w:sz w:val="18"/>
          <w:szCs w:val="18"/>
          <w:color w:val="auto"/>
        </w:rPr>
        <w:t>) with a notional amount attributable to each ordinary share of €1. Each issued ordinary share is fully paid.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Certification and Transferability of Shares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shares are freely transferable under German law.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Our Share Capital During the Last Three Fiscal Years</w:t>
      </w:r>
    </w:p>
    <w:p>
      <w:pPr>
        <w:spacing w:after="0" w:line="121"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amounts to 221,786,842. Since January 1, 2016, without giving effect to the 18-to-1 stock split which became effective on September 18, 2019, our share capital has changed as follows:</w:t>
      </w:r>
    </w:p>
    <w:p>
      <w:pPr>
        <w:spacing w:after="0" w:line="52" w:lineRule="exact"/>
        <w:rPr>
          <w:sz w:val="20"/>
          <w:szCs w:val="20"/>
          <w:color w:val="auto"/>
        </w:rPr>
      </w:pPr>
    </w:p>
    <w:p>
      <w:pPr>
        <w:ind w:left="1180" w:hanging="436"/>
        <w:spacing w:after="0" w:line="277" w:lineRule="auto"/>
        <w:tabs>
          <w:tab w:leader="none" w:pos="11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On September 14, 2017,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9,083,000 shares;</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On February 1,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1,254,884 shares;</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On September 12,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32,373 shares;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40"/>
          </w:cols>
          <w:pgMar w:left="240" w:top="460" w:right="5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0" w:hanging="436"/>
        <w:spacing w:after="0" w:line="277" w:lineRule="auto"/>
        <w:tabs>
          <w:tab w:leader="none" w:pos="11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On October 18, 2018,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186,715 shares;</w:t>
      </w:r>
    </w:p>
    <w:p>
      <w:pPr>
        <w:spacing w:after="0" w:line="75"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On January 29,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282,678 shares;</w:t>
      </w:r>
    </w:p>
    <w:p>
      <w:pPr>
        <w:spacing w:after="0" w:line="75" w:lineRule="exact"/>
        <w:rPr>
          <w:rFonts w:ascii="Arial" w:cs="Arial" w:eastAsia="Arial" w:hAnsi="Arial"/>
          <w:sz w:val="18"/>
          <w:szCs w:val="18"/>
          <w:color w:val="auto"/>
        </w:rPr>
      </w:pPr>
    </w:p>
    <w:p>
      <w:pPr>
        <w:ind w:left="1180" w:right="120" w:hanging="436"/>
        <w:spacing w:after="0" w:line="308" w:lineRule="auto"/>
        <w:tabs>
          <w:tab w:leader="none" w:pos="118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On April 24, 2019, 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was increased by issuing 131,933 shares against contributions in kind (swap of shares in our company against shares in one of our subsidiary companies);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On June 26, 2019, our share capital as registered with the 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was increased by issuing 666,123 shares;</w:t>
      </w:r>
    </w:p>
    <w:p>
      <w:pPr>
        <w:spacing w:after="0" w:line="153" w:lineRule="exact"/>
        <w:rPr>
          <w:rFonts w:ascii="Arial" w:cs="Arial" w:eastAsia="Arial" w:hAnsi="Arial"/>
          <w:sz w:val="16"/>
          <w:szCs w:val="16"/>
          <w:color w:val="auto"/>
        </w:rPr>
      </w:pPr>
    </w:p>
    <w:p>
      <w:pPr>
        <w:ind w:left="1180" w:right="460" w:hanging="436"/>
        <w:spacing w:after="0" w:line="277" w:lineRule="auto"/>
        <w:tabs>
          <w:tab w:leader="none" w:pos="11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On August 16, 2019, our share capital as registered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 was increased by issuing 333,310 shares;</w:t>
      </w:r>
    </w:p>
    <w:p>
      <w:pPr>
        <w:spacing w:after="0" w:line="75" w:lineRule="exact"/>
        <w:rPr>
          <w:rFonts w:ascii="Arial" w:cs="Arial" w:eastAsia="Arial" w:hAnsi="Arial"/>
          <w:sz w:val="18"/>
          <w:szCs w:val="18"/>
          <w:color w:val="auto"/>
        </w:rPr>
      </w:pPr>
    </w:p>
    <w:p>
      <w:pPr>
        <w:ind w:left="1180" w:right="840" w:hanging="436"/>
        <w:spacing w:after="0" w:line="308" w:lineRule="auto"/>
        <w:tabs>
          <w:tab w:leader="none" w:pos="118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On September 18, 2019, our share capital as registered with the commercial register (</w:t>
      </w:r>
      <w:r>
        <w:rPr>
          <w:rFonts w:ascii="Arial" w:cs="Arial" w:eastAsia="Arial" w:hAnsi="Arial"/>
          <w:sz w:val="17"/>
          <w:szCs w:val="17"/>
          <w:i w:val="1"/>
          <w:iCs w:val="1"/>
          <w:color w:val="auto"/>
        </w:rPr>
        <w:t>Handelsregister</w:t>
      </w:r>
      <w:r>
        <w:rPr>
          <w:rFonts w:ascii="Arial" w:cs="Arial" w:eastAsia="Arial" w:hAnsi="Arial"/>
          <w:sz w:val="17"/>
          <w:szCs w:val="17"/>
          <w:color w:val="auto"/>
        </w:rPr>
        <w:t>) was increased by issuing 206,595,492 shares by way of a capital increase from our funds; thus, no contribution by investors was made; and</w:t>
      </w:r>
    </w:p>
    <w:p>
      <w:pPr>
        <w:spacing w:after="0" w:line="51" w:lineRule="exact"/>
        <w:rPr>
          <w:rFonts w:ascii="Arial" w:cs="Arial" w:eastAsia="Arial" w:hAnsi="Arial"/>
          <w:sz w:val="17"/>
          <w:szCs w:val="17"/>
          <w:color w:val="auto"/>
        </w:rPr>
      </w:pPr>
    </w:p>
    <w:p>
      <w:pPr>
        <w:ind w:left="1180" w:hanging="436"/>
        <w:spacing w:after="0" w:line="259" w:lineRule="auto"/>
        <w:tabs>
          <w:tab w:leader="none" w:pos="11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On August 30, 2019, we entered into an agreement with BMGF pursuant to which BMGF agreed to purchase up to 3,038,674 of our ordinary shares. This capital increase from our authorized capital was resolved upon by our Management Board (</w:t>
      </w:r>
      <w:r>
        <w:rPr>
          <w:rFonts w:ascii="Arial" w:cs="Arial" w:eastAsia="Arial" w:hAnsi="Arial"/>
          <w:sz w:val="18"/>
          <w:szCs w:val="18"/>
          <w:i w:val="1"/>
          <w:iCs w:val="1"/>
          <w:color w:val="auto"/>
        </w:rPr>
        <w:t>Vorstand</w:t>
      </w:r>
      <w:r>
        <w:rPr>
          <w:rFonts w:ascii="Arial" w:cs="Arial" w:eastAsia="Arial" w:hAnsi="Arial"/>
          <w:sz w:val="18"/>
          <w:szCs w:val="18"/>
          <w:color w:val="auto"/>
        </w:rPr>
        <w:t>) with the consent of the Supervisory Board (</w:t>
      </w:r>
      <w:r>
        <w:rPr>
          <w:rFonts w:ascii="Arial" w:cs="Arial" w:eastAsia="Arial" w:hAnsi="Arial"/>
          <w:sz w:val="18"/>
          <w:szCs w:val="18"/>
          <w:i w:val="1"/>
          <w:iCs w:val="1"/>
          <w:color w:val="auto"/>
        </w:rPr>
        <w:t>Aufsichtsrat</w:t>
      </w:r>
      <w:r>
        <w:rPr>
          <w:rFonts w:ascii="Arial" w:cs="Arial" w:eastAsia="Arial" w:hAnsi="Arial"/>
          <w:sz w:val="18"/>
          <w:szCs w:val="18"/>
          <w:color w:val="auto"/>
        </w:rPr>
        <w:t>) on September 18, 2019 and came into effect upon registration with the commercial register (</w:t>
      </w:r>
      <w:r>
        <w:rPr>
          <w:rFonts w:ascii="Arial" w:cs="Arial" w:eastAsia="Arial" w:hAnsi="Arial"/>
          <w:sz w:val="18"/>
          <w:szCs w:val="18"/>
          <w:i w:val="1"/>
          <w:iCs w:val="1"/>
          <w:color w:val="auto"/>
        </w:rPr>
        <w:t>Handelsregister</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 of Our Charter Documents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Future Changes to the Share Capital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relevant law, the general meeting of a European stock corporation (</w:t>
      </w:r>
      <w:r>
        <w:rPr>
          <w:rFonts w:ascii="Arial" w:cs="Arial" w:eastAsia="Arial" w:hAnsi="Arial"/>
          <w:sz w:val="16"/>
          <w:szCs w:val="16"/>
          <w:i w:val="1"/>
          <w:iCs w:val="1"/>
          <w:color w:val="auto"/>
        </w:rPr>
        <w:t>Societas Europaea</w:t>
      </w:r>
      <w:r>
        <w:rPr>
          <w:rFonts w:ascii="Arial" w:cs="Arial" w:eastAsia="Arial" w:hAnsi="Arial"/>
          <w:sz w:val="16"/>
          <w:szCs w:val="16"/>
          <w:color w:val="auto"/>
        </w:rPr>
        <w:t>) governed by German law can authorize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Management Board to, with the consent of the Supervisory Board, issue shares in a specified aggregate nominal amount of up to 50% of the issued share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capital of such company at the time the resolution becomes effective. The shareholders’ authorization becomes effective upon registration in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commercial register (</w:t>
      </w:r>
      <w:r>
        <w:rPr>
          <w:rFonts w:ascii="Arial" w:cs="Arial" w:eastAsia="Arial" w:hAnsi="Arial"/>
          <w:sz w:val="16"/>
          <w:szCs w:val="16"/>
          <w:i w:val="1"/>
          <w:iCs w:val="1"/>
          <w:color w:val="auto"/>
        </w:rPr>
        <w:t>Handelsregister</w:t>
      </w:r>
      <w:r>
        <w:rPr>
          <w:rFonts w:ascii="Arial" w:cs="Arial" w:eastAsia="Arial" w:hAnsi="Arial"/>
          <w:sz w:val="16"/>
          <w:szCs w:val="16"/>
          <w:color w:val="auto"/>
        </w:rPr>
        <w:t>) and may extend for a period of no more than five years thereafter. Under § 4(5) of our Articles of Association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Satzung</w:t>
      </w:r>
      <w:r>
        <w:rPr>
          <w:rFonts w:ascii="Arial" w:cs="Arial" w:eastAsia="Arial" w:hAnsi="Arial"/>
          <w:sz w:val="16"/>
          <w:szCs w:val="16"/>
          <w:color w:val="auto"/>
        </w:rPr>
        <w:t>), the Management Board is authorized to increase our share capital, on one or more occasions, by a total of up to €106,335,410 by issuing,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one or more occasions, up to 106,335,410 new, registered shares with no par value (</w:t>
      </w:r>
      <w:r>
        <w:rPr>
          <w:rFonts w:ascii="Arial" w:cs="Arial" w:eastAsia="Arial" w:hAnsi="Arial"/>
          <w:sz w:val="16"/>
          <w:szCs w:val="16"/>
          <w:i w:val="1"/>
          <w:iCs w:val="1"/>
          <w:color w:val="auto"/>
        </w:rPr>
        <w:t>Genehmigtes Kapital</w:t>
      </w:r>
      <w:r>
        <w:rPr>
          <w:rFonts w:ascii="Arial" w:cs="Arial" w:eastAsia="Arial" w:hAnsi="Arial"/>
          <w:sz w:val="16"/>
          <w:szCs w:val="16"/>
          <w:color w:val="auto"/>
        </w:rPr>
        <w:t>), in each case with consent of the Supervisory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Board. This authorization expires on August 18, 2024.</w:t>
      </w:r>
    </w:p>
    <w:p>
      <w:pPr>
        <w:spacing w:after="0" w:line="21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Any new shares issued from the authorized capital will participate in the profits starting with the fiscal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Conditional Capital</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Pursuant to § 4(6)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our share capital is conditionally increased by €21,874,806 through issuance of new, registered shares with no par value (</w:t>
      </w:r>
      <w:r>
        <w:rPr>
          <w:rFonts w:ascii="Arial" w:cs="Arial" w:eastAsia="Arial" w:hAnsi="Arial"/>
          <w:sz w:val="17"/>
          <w:szCs w:val="17"/>
          <w:i w:val="1"/>
          <w:iCs w:val="1"/>
          <w:color w:val="auto"/>
        </w:rPr>
        <w:t>Bedingtes Kapital ESOP 2017/2019</w:t>
      </w:r>
      <w:r>
        <w:rPr>
          <w:rFonts w:ascii="Arial" w:cs="Arial" w:eastAsia="Arial" w:hAnsi="Arial"/>
          <w:sz w:val="17"/>
          <w:szCs w:val="17"/>
          <w:color w:val="auto"/>
        </w:rPr>
        <w:t>). The conditional capital may only be used to issue shares to the holders of option rights granted under our ESOP to members of our Management Board and to certain of our employees.</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conditional capital increase will only be implemented to the extent that stock options under our ESOP are exercised and said stock options are not serviced by our providing treasury shares or through cash payments. Any new shares issued under the conditional capital pursuant to the said § 4(6)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Pursuant to § 4(7) of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our share capital is conditionally increased by €87,499,260 through issuance of new, registered shares with no par value (</w:t>
      </w:r>
      <w:r>
        <w:rPr>
          <w:rFonts w:ascii="Arial" w:cs="Arial" w:eastAsia="Arial" w:hAnsi="Arial"/>
          <w:sz w:val="17"/>
          <w:szCs w:val="17"/>
          <w:i w:val="1"/>
          <w:iCs w:val="1"/>
          <w:color w:val="auto"/>
        </w:rPr>
        <w:t>Bedingtes Kapital WSV 2019</w:t>
      </w:r>
      <w:r>
        <w:rPr>
          <w:rFonts w:ascii="Arial" w:cs="Arial" w:eastAsia="Arial" w:hAnsi="Arial"/>
          <w:sz w:val="17"/>
          <w:szCs w:val="17"/>
          <w:color w:val="auto"/>
        </w:rPr>
        <w:t>). The conditional capital may only be used to issue shares to the holders or creditors of option rights or conversion rights or those under an obligation to convert under warrant-linked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are not utilised for servicing.</w:t>
      </w:r>
    </w:p>
    <w:p>
      <w:pPr>
        <w:spacing w:after="0" w:line="178"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Any new shares issued under the said conditional capital pursuant to the said § 4(7) of our Articles of Association shall carry an entitlement to dividends from the beginning of the financial year in which they are created; however, as far as the law permits, the Management Board can confer dividend rights for new shares in derogation of the foregoing.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Arial" w:cs="Arial" w:eastAsia="Arial" w:hAnsi="Arial"/>
          <w:sz w:val="18"/>
          <w:szCs w:val="18"/>
          <w:i w:val="1"/>
          <w:iCs w:val="1"/>
          <w:color w:val="auto"/>
        </w:rPr>
        <w:t>mittelbares Bezugsrecht</w:t>
      </w:r>
      <w:r>
        <w:rPr>
          <w:rFonts w:ascii="Arial" w:cs="Arial" w:eastAsia="Arial" w:hAnsi="Arial"/>
          <w:sz w:val="18"/>
          <w:szCs w:val="18"/>
          <w:color w:val="auto"/>
        </w:rPr>
        <w:t>).</w:t>
      </w:r>
    </w:p>
    <w:p>
      <w:pPr>
        <w:spacing w:after="0" w:line="18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 xml:space="preserve">Further, it is possible for a shareholder resolution approved by three-quarters of the share capital voting on the resolution to exclude preemptive rights both where the general meeting itself resolves that the new securities to be issued and in relation to the authorized capital, </w:t>
      </w:r>
      <w:r>
        <w:rPr>
          <w:rFonts w:ascii="Arial" w:cs="Arial" w:eastAsia="Arial" w:hAnsi="Arial"/>
          <w:sz w:val="16"/>
          <w:szCs w:val="16"/>
          <w:i w:val="1"/>
          <w:iCs w:val="1"/>
          <w:color w:val="auto"/>
        </w:rPr>
        <w:t>i.e.,</w:t>
      </w:r>
      <w:r>
        <w:rPr>
          <w:rFonts w:ascii="Arial" w:cs="Arial" w:eastAsia="Arial" w:hAnsi="Arial"/>
          <w:sz w:val="16"/>
          <w:szCs w:val="16"/>
          <w:color w:val="auto"/>
        </w:rPr>
        <w:t xml:space="preserve"> an authorization to the Management Board to, with the consent of the Supervisory Board, resolve on the issuance of new securities; provided, however, that in each case the exclusion or the authorization to so exclude preemptive rights, respectively, must be justified by specific facts, in accordance with established case law of the German Federal Court of Justice (</w:t>
      </w:r>
      <w:r>
        <w:rPr>
          <w:rFonts w:ascii="Arial" w:cs="Arial" w:eastAsia="Arial" w:hAnsi="Arial"/>
          <w:sz w:val="16"/>
          <w:szCs w:val="16"/>
          <w:i w:val="1"/>
          <w:iCs w:val="1"/>
          <w:color w:val="auto"/>
        </w:rPr>
        <w:t>BGH</w:t>
      </w:r>
      <w:r>
        <w:rPr>
          <w:rFonts w:ascii="Arial" w:cs="Arial" w:eastAsia="Arial" w:hAnsi="Arial"/>
          <w:sz w:val="16"/>
          <w:szCs w:val="16"/>
          <w:color w:val="auto"/>
        </w:rPr>
        <w:t>). The German Federal Court of Justice (</w:t>
      </w:r>
      <w:r>
        <w:rPr>
          <w:rFonts w:ascii="Arial" w:cs="Arial" w:eastAsia="Arial" w:hAnsi="Arial"/>
          <w:sz w:val="16"/>
          <w:szCs w:val="16"/>
          <w:i w:val="1"/>
          <w:iCs w:val="1"/>
          <w:color w:val="auto"/>
        </w:rPr>
        <w:t>BGH</w:t>
      </w:r>
      <w:r>
        <w:rPr>
          <w:rFonts w:ascii="Arial" w:cs="Arial" w:eastAsia="Arial" w:hAnsi="Arial"/>
          <w:sz w:val="16"/>
          <w:szCs w:val="16"/>
          <w:color w:val="auto"/>
        </w:rPr>
        <w:t>) considers the exclusion of subscription rights justified if it</w:t>
      </w:r>
    </w:p>
    <w:p>
      <w:pPr>
        <w:spacing w:after="0" w:line="2" w:lineRule="exact"/>
        <w:rPr>
          <w:sz w:val="20"/>
          <w:szCs w:val="20"/>
          <w:color w:val="auto"/>
        </w:rPr>
      </w:pPr>
    </w:p>
    <w:p>
      <w:pPr>
        <w:ind w:left="200" w:firstLine="4"/>
        <w:spacing w:after="0" w:line="323" w:lineRule="auto"/>
        <w:tabs>
          <w:tab w:leader="none" w:pos="41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3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Accordingly, under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the Management Board may, with the consent of the Supervisory Board, exclude such preemptive rights in a capital increase from the authorized capital in the following circumstances:</w:t>
      </w:r>
    </w:p>
    <w:p>
      <w:pPr>
        <w:spacing w:after="0" w:line="76" w:lineRule="exact"/>
        <w:rPr>
          <w:sz w:val="20"/>
          <w:szCs w:val="20"/>
          <w:color w:val="auto"/>
        </w:rPr>
      </w:pPr>
    </w:p>
    <w:p>
      <w:pPr>
        <w:ind w:left="1180" w:hanging="436"/>
        <w:spacing w:after="0"/>
        <w:tabs>
          <w:tab w:leader="none" w:pos="1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to exclude fractional amounts from the subscription right;</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 the case of a capital increase against cash contributions, if the issue price of the new shares is not significantly lower than the market price of the company’s shares already listed on the stock exchange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00"/>
          </w:cols>
          <w:pgMar w:left="240" w:top="460"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0"/>
        <w:spacing w:after="0" w:line="270" w:lineRule="auto"/>
        <w:rPr>
          <w:sz w:val="20"/>
          <w:szCs w:val="20"/>
          <w:color w:val="auto"/>
        </w:rPr>
      </w:pPr>
      <w:r>
        <w:rPr>
          <w:rFonts w:ascii="Arial" w:cs="Arial" w:eastAsia="Arial" w:hAnsi="Arial"/>
          <w:sz w:val="17"/>
          <w:szCs w:val="17"/>
          <w:color w:val="auto"/>
        </w:rPr>
        <w:t>at the time the issue price is finally determined. However, this authorization shall only apply subject to the provision that the shares issued excluding subscription rights in accordance with 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were issued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p>
    <w:p>
      <w:pPr>
        <w:spacing w:after="0" w:line="87" w:lineRule="exact"/>
        <w:rPr>
          <w:sz w:val="20"/>
          <w:szCs w:val="20"/>
          <w:color w:val="auto"/>
        </w:rPr>
      </w:pPr>
    </w:p>
    <w:p>
      <w:pPr>
        <w:ind w:left="1180" w:right="380" w:hanging="436"/>
        <w:spacing w:after="0" w:line="342" w:lineRule="auto"/>
        <w:tabs>
          <w:tab w:leader="none" w:pos="11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in the case of capital increases in exchange for contributions in kind, in particular in order to be able to offer the shares to third parties when purchasing companies, parts of companies or interests in companies as well as licenses or industrial property rights;</w:t>
      </w:r>
    </w:p>
    <w:p>
      <w:pPr>
        <w:spacing w:after="0" w:line="29" w:lineRule="exact"/>
        <w:rPr>
          <w:rFonts w:ascii="Arial" w:cs="Arial" w:eastAsia="Arial" w:hAnsi="Arial"/>
          <w:sz w:val="16"/>
          <w:szCs w:val="16"/>
          <w:color w:val="auto"/>
        </w:rPr>
      </w:pPr>
    </w:p>
    <w:p>
      <w:pPr>
        <w:ind w:left="1180" w:hanging="436"/>
        <w:spacing w:after="0" w:line="264" w:lineRule="auto"/>
        <w:tabs>
          <w:tab w:leader="none" w:pos="11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p>
    <w:p>
      <w:pPr>
        <w:spacing w:after="0" w:line="86"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to implement an election dividend by which shareholders are given the option to contribute their dividend entitlements (either in whole or part) as a contribution in kind against issuance of our new shares;</w:t>
      </w:r>
    </w:p>
    <w:p>
      <w:pPr>
        <w:spacing w:after="0" w:line="75" w:lineRule="exact"/>
        <w:rPr>
          <w:rFonts w:ascii="Arial" w:cs="Arial" w:eastAsia="Arial" w:hAnsi="Arial"/>
          <w:sz w:val="18"/>
          <w:szCs w:val="18"/>
          <w:color w:val="auto"/>
        </w:rPr>
      </w:pPr>
    </w:p>
    <w:p>
      <w:pPr>
        <w:ind w:left="1180" w:right="160" w:hanging="436"/>
        <w:spacing w:after="0" w:line="259" w:lineRule="auto"/>
        <w:tabs>
          <w:tab w:leader="none" w:pos="11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shares are issued to investors or in connection therewith to shareholders by way of so-called co-investments on the basis of agreements concluded by June 30, 2020 at an issue price (including any further payment agreed under the law of obligations) of at least $18.10, whereas further details are stipulated in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This authority to exclude the subscription right lapses following listing on Nasdaq;</w:t>
      </w:r>
    </w:p>
    <w:p>
      <w:pPr>
        <w:spacing w:after="0" w:line="92" w:lineRule="exact"/>
        <w:rPr>
          <w:rFonts w:ascii="Arial" w:cs="Arial" w:eastAsia="Arial" w:hAnsi="Arial"/>
          <w:sz w:val="18"/>
          <w:szCs w:val="18"/>
          <w:color w:val="auto"/>
        </w:rPr>
      </w:pPr>
    </w:p>
    <w:p>
      <w:pPr>
        <w:ind w:left="1180" w:right="140" w:hanging="436"/>
        <w:spacing w:after="0" w:line="259" w:lineRule="auto"/>
        <w:tabs>
          <w:tab w:leader="none" w:pos="11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case shares are to be issued to a member of our Management Board or to another person who is employed by us or one of our affiliates and a minimum holding period of at least one year and the obligation to transfer back the shares in the event that the beneficiary is not employed by us or one of our affiliated companies for the entire duration of the holding period or any other agreed period is agreed upon. Additional restrictions with regard to the shares issued may be agreed upon;</w:t>
      </w:r>
    </w:p>
    <w:p>
      <w:pPr>
        <w:spacing w:after="0" w:line="92" w:lineRule="exact"/>
        <w:rPr>
          <w:rFonts w:ascii="Arial" w:cs="Arial" w:eastAsia="Arial" w:hAnsi="Arial"/>
          <w:sz w:val="18"/>
          <w:szCs w:val="18"/>
          <w:color w:val="auto"/>
        </w:rPr>
      </w:pPr>
    </w:p>
    <w:p>
      <w:pPr>
        <w:ind w:left="1180" w:right="140" w:hanging="436"/>
        <w:spacing w:after="0" w:line="302" w:lineRule="auto"/>
        <w:tabs>
          <w:tab w:leader="none" w:pos="118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after listing on Nasdaq, if excluding subscription rights, according to the written declaration of an internationally renowned investment bank, is expedient to the shares’ successful placement in view of the requirements of eligible investors and if the discount by which the issue price of the shares may be below the current stock exchange price at the time the Management Board adopts the resolution on using authorized capital, according to such declaration, does not exceed the extent necessary for a successful placement.</w:t>
      </w:r>
    </w:p>
    <w:p>
      <w:pPr>
        <w:spacing w:after="0" w:line="59" w:lineRule="exact"/>
        <w:rPr>
          <w:rFonts w:ascii="Arial" w:cs="Arial" w:eastAsia="Arial" w:hAnsi="Arial"/>
          <w:sz w:val="16"/>
          <w:szCs w:val="16"/>
          <w:color w:val="auto"/>
        </w:rPr>
      </w:pPr>
    </w:p>
    <w:p>
      <w:pPr>
        <w:ind w:left="1180" w:right="180" w:hanging="436"/>
        <w:spacing w:after="0" w:line="277" w:lineRule="auto"/>
        <w:tabs>
          <w:tab w:leader="none" w:pos="11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total number of new shares issued from the authorized capital and under exclusion of subscription rights pursuant to bullets one through three and eight above may not exceed 20% of the share capital, either at the time this authorization becomes effective or, if lower, at the time it is utilized. To be counted against the aforementioned 20%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00"/>
          </w:cols>
          <w:pgMar w:left="24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term of this authorization (except in the case of certain exceptions of the resolution to item no. 8 of the general meeting of August 19, 2019).</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Purpose of our Company</w:t>
      </w:r>
    </w:p>
    <w:p>
      <w:pPr>
        <w:spacing w:after="0" w:line="12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Our business objective, as described in § 2 of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is to research and develop, as well as to manufacture and market immunological and RNA-based drugs and test methods for the diagnosis, prevention and treatment of cancer, infectious diseases and other serious diseases.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Meetings and Voting Rights</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Pursuant to our Articles of Association (</w:t>
      </w:r>
      <w:r>
        <w:rPr>
          <w:rFonts w:ascii="Arial" w:cs="Arial" w:eastAsia="Arial" w:hAnsi="Arial"/>
          <w:sz w:val="17"/>
          <w:szCs w:val="17"/>
          <w:i w:val="1"/>
          <w:iCs w:val="1"/>
          <w:color w:val="auto"/>
        </w:rPr>
        <w:t>Satzung</w:t>
      </w:r>
      <w:r>
        <w:rPr>
          <w:rFonts w:ascii="Arial" w:cs="Arial" w:eastAsia="Arial" w:hAnsi="Arial"/>
          <w:sz w:val="17"/>
          <w:szCs w:val="17"/>
          <w:color w:val="auto"/>
        </w:rPr>
        <w:t>), shareholders’ meetings may be held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Invitations to shareholders’ meetings must be published in the German Federal Gazette (</w:t>
      </w:r>
      <w:r>
        <w:rPr>
          <w:rFonts w:ascii="Arial" w:cs="Arial" w:eastAsia="Arial" w:hAnsi="Arial"/>
          <w:sz w:val="17"/>
          <w:szCs w:val="17"/>
          <w:i w:val="1"/>
          <w:iCs w:val="1"/>
          <w:color w:val="auto"/>
        </w:rPr>
        <w:t>Bundesanzeiger</w:t>
      </w:r>
      <w:r>
        <w:rPr>
          <w:rFonts w:ascii="Arial" w:cs="Arial" w:eastAsia="Arial" w:hAnsi="Arial"/>
          <w:sz w:val="17"/>
          <w:szCs w:val="17"/>
          <w:color w:val="auto"/>
        </w:rPr>
        <w:t>) at least 36 days before the meeting.</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Shareholders may participate in and vote in the shareholders’ meeting if they are registered as a shareholder with the Company’s share register. A shareholder who wishes to attend the shareholders’ meeting—either in person or by proxy, which may also be appointed by us (</w:t>
      </w:r>
      <w:r>
        <w:rPr>
          <w:rFonts w:ascii="Arial" w:cs="Arial" w:eastAsia="Arial" w:hAnsi="Arial"/>
          <w:sz w:val="18"/>
          <w:szCs w:val="18"/>
          <w:i w:val="1"/>
          <w:iCs w:val="1"/>
          <w:color w:val="auto"/>
        </w:rPr>
        <w:t>Stimmrechtsvertreter</w:t>
      </w:r>
      <w:r>
        <w:rPr>
          <w:rFonts w:ascii="Arial" w:cs="Arial" w:eastAsia="Arial" w:hAnsi="Arial"/>
          <w:sz w:val="18"/>
          <w:szCs w:val="18"/>
          <w:color w:val="auto"/>
        </w:rPr>
        <w:t>)— must register for the meeting, which registration must occur no later than six days before the meeting (or at a later date, if so determined by our Management Board).</w:t>
      </w:r>
    </w:p>
    <w:p>
      <w:pPr>
        <w:spacing w:after="0" w:line="18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Each share carries one vote at a shareholders’ meeting. Resolutions are, in accordance with our Articles of Association (</w:t>
      </w:r>
      <w:r>
        <w:rPr>
          <w:rFonts w:ascii="Arial" w:cs="Arial" w:eastAsia="Arial" w:hAnsi="Arial"/>
          <w:sz w:val="18"/>
          <w:szCs w:val="18"/>
          <w:i w:val="1"/>
          <w:iCs w:val="1"/>
          <w:color w:val="auto"/>
        </w:rPr>
        <w:t>Satzung</w:t>
      </w:r>
      <w:r>
        <w:rPr>
          <w:rFonts w:ascii="Arial" w:cs="Arial" w:eastAsia="Arial" w:hAnsi="Arial"/>
          <w:sz w:val="18"/>
          <w:szCs w:val="18"/>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Claims against Directors and Shareholders’ Derivative Actions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5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19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If the company is unable to fulfill its third-party obligations, the company’s creditors may pursue the company’s damage claims against members of the Management Board for certain wrongdoings.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20"/>
          </w:cols>
          <w:pgMar w:left="240" w:top="460"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Under German law, distributions of dividends on shares for a given fiscal year are generally determined by a process in which the Management Board and Supervisory Board submit a proposal to the company’s annual general shareholders’ meeting held in the subsequent fiscal year and such annual general shareholders’ meeting adopts a resolution.</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7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Authorization to Purchase and Sell Our Own Shares</w:t>
      </w:r>
    </w:p>
    <w:p>
      <w:pPr>
        <w:spacing w:after="0" w:line="12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not purchase our own shares unless authorized by the shareholders’ meeting or in other very limited circumstances as set out in the German Stock Corporation Act. The Company’s shareholders’ meeting held on August 19, 2019 authorized the Management Board until August 18, 2024,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Squeeze-Out of Minority Shareholders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Arial" w:cs="Arial" w:eastAsia="Arial" w:hAnsi="Arial"/>
          <w:sz w:val="18"/>
          <w:szCs w:val="18"/>
          <w:i w:val="1"/>
          <w:iCs w:val="1"/>
          <w:color w:val="auto"/>
        </w:rPr>
        <w:t>Ausschluss von Minderheitsaktionären</w:t>
      </w:r>
      <w:r>
        <w:rPr>
          <w:rFonts w:ascii="Arial" w:cs="Arial" w:eastAsia="Arial" w:hAnsi="Arial"/>
          <w:sz w:val="18"/>
          <w:szCs w:val="18"/>
          <w:color w:val="auto"/>
        </w:rPr>
        <w:t>). This amount must take into account the full value of the company at the time of the resolution, which is generally determined using the future earnings value method (</w:t>
      </w:r>
      <w:r>
        <w:rPr>
          <w:rFonts w:ascii="Arial" w:cs="Arial" w:eastAsia="Arial" w:hAnsi="Arial"/>
          <w:sz w:val="18"/>
          <w:szCs w:val="18"/>
          <w:i w:val="1"/>
          <w:iCs w:val="1"/>
          <w:color w:val="auto"/>
        </w:rPr>
        <w:t>Ertragswertmethode</w:t>
      </w:r>
      <w:r>
        <w:rPr>
          <w:rFonts w:ascii="Arial" w:cs="Arial" w:eastAsia="Arial" w:hAnsi="Arial"/>
          <w:sz w:val="18"/>
          <w:szCs w:val="18"/>
          <w:color w:val="auto"/>
        </w:rPr>
        <w:t>).</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 squeeze-out in the context of a merger (</w:t>
      </w:r>
      <w:r>
        <w:rPr>
          <w:rFonts w:ascii="Arial" w:cs="Arial" w:eastAsia="Arial" w:hAnsi="Arial"/>
          <w:sz w:val="18"/>
          <w:szCs w:val="18"/>
          <w:i w:val="1"/>
          <w:iCs w:val="1"/>
          <w:color w:val="auto"/>
        </w:rPr>
        <w:t>umwandlungsrechtlicher Squeeze-Out</w:t>
      </w:r>
      <w:r>
        <w:rPr>
          <w:rFonts w:ascii="Arial" w:cs="Arial" w:eastAsia="Arial" w:hAnsi="Arial"/>
          <w:sz w:val="18"/>
          <w:szCs w:val="18"/>
          <w:color w:val="auto"/>
        </w:rPr>
        <w:t>) only requires a majority shareholder to hold at least 90% of the share capital.</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80"/>
          </w:cols>
          <w:pgMar w:left="240" w:top="460"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Apart from liquidation, e.g.,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ectPr>
          <w:pgSz w:w="11900" w:h="16838" w:orient="portrait"/>
          <w:cols w:equalWidth="0" w:num="1">
            <w:col w:w="11180"/>
          </w:cols>
          <w:pgMar w:left="240" w:top="459" w:right="479" w:bottom="1440" w:gutter="0" w:footer="0" w:header="0"/>
        </w:sectPr>
      </w:pP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960" w:type="dxa"/>
            <w:vAlign w:val="bottom"/>
            <w:vMerge w:val="restart"/>
          </w:tcPr>
          <w:p>
            <w:pPr>
              <w:spacing w:after="0"/>
              <w:rPr>
                <w:sz w:val="20"/>
                <w:szCs w:val="20"/>
                <w:color w:val="auto"/>
              </w:rPr>
            </w:pPr>
            <w:r>
              <w:rPr>
                <w:rFonts w:ascii="Arial" w:cs="Arial" w:eastAsia="Arial" w:hAnsi="Arial"/>
                <w:sz w:val="18"/>
                <w:szCs w:val="18"/>
                <w:color w:val="auto"/>
              </w:rPr>
              <w:t>Board System</w:t>
            </w:r>
          </w:p>
        </w:tc>
        <w:tc>
          <w:tcPr>
            <w:tcW w:w="480" w:type="dxa"/>
            <w:vAlign w:val="bottom"/>
          </w:tcPr>
          <w:p>
            <w:pPr>
              <w:spacing w:after="0"/>
              <w:rPr>
                <w:sz w:val="16"/>
                <w:szCs w:val="16"/>
                <w:color w:val="auto"/>
              </w:rPr>
            </w:pPr>
          </w:p>
        </w:tc>
        <w:tc>
          <w:tcPr>
            <w:tcW w:w="43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European Union / Federal Republic of Germany</w:t>
            </w:r>
          </w:p>
        </w:tc>
        <w:tc>
          <w:tcPr>
            <w:tcW w:w="0" w:type="dxa"/>
            <w:vAlign w:val="bottom"/>
          </w:tcPr>
          <w:p>
            <w:pPr>
              <w:spacing w:after="0"/>
              <w:rPr>
                <w:sz w:val="1"/>
                <w:szCs w:val="1"/>
                <w:color w:val="auto"/>
              </w:rPr>
            </w:pPr>
          </w:p>
        </w:tc>
      </w:tr>
      <w:tr>
        <w:trPr>
          <w:trHeight w:val="195"/>
        </w:trPr>
        <w:tc>
          <w:tcPr>
            <w:tcW w:w="19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A European stock corporation may choose to have a</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8"/>
              </w:rPr>
              <w:t>two-tier board structure composed of the Management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0"/>
              </w:rPr>
              <w:t>Board (</w:t>
            </w:r>
            <w:r>
              <w:rPr>
                <w:rFonts w:ascii="Arial" w:cs="Arial" w:eastAsia="Arial" w:hAnsi="Arial"/>
                <w:sz w:val="18"/>
                <w:szCs w:val="18"/>
                <w:i w:val="1"/>
                <w:iCs w:val="1"/>
                <w:color w:val="auto"/>
                <w:w w:val="90"/>
              </w:rPr>
              <w:t>Vorstand</w:t>
            </w:r>
            <w:r>
              <w:rPr>
                <w:rFonts w:ascii="Arial" w:cs="Arial" w:eastAsia="Arial" w:hAnsi="Arial"/>
                <w:sz w:val="18"/>
                <w:szCs w:val="18"/>
                <w:color w:val="auto"/>
                <w:w w:val="90"/>
              </w:rPr>
              <w:t>) and the Supervisory Board (</w:t>
            </w:r>
            <w:r>
              <w:rPr>
                <w:rFonts w:ascii="Arial" w:cs="Arial" w:eastAsia="Arial" w:hAnsi="Arial"/>
                <w:sz w:val="18"/>
                <w:szCs w:val="18"/>
                <w:i w:val="1"/>
                <w:iCs w:val="1"/>
                <w:color w:val="auto"/>
                <w:w w:val="90"/>
              </w:rPr>
              <w:t>Aufsichtsrat</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We have chosen this structure.</w:t>
            </w:r>
          </w:p>
        </w:tc>
        <w:tc>
          <w:tcPr>
            <w:tcW w:w="0" w:type="dxa"/>
            <w:vAlign w:val="bottom"/>
          </w:tcPr>
          <w:p>
            <w:pPr>
              <w:spacing w:after="0"/>
              <w:rPr>
                <w:sz w:val="1"/>
                <w:szCs w:val="1"/>
                <w:color w:val="auto"/>
              </w:rPr>
            </w:pPr>
          </w:p>
        </w:tc>
      </w:tr>
      <w:tr>
        <w:trPr>
          <w:trHeight w:val="445"/>
        </w:trPr>
        <w:tc>
          <w:tcPr>
            <w:tcW w:w="196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9"/>
              </w:rPr>
              <w:t>The Management Board is responsible for running the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company’s affairs and representing the company in</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dealings with third parties.</w:t>
            </w:r>
          </w:p>
        </w:tc>
        <w:tc>
          <w:tcPr>
            <w:tcW w:w="0" w:type="dxa"/>
            <w:vAlign w:val="bottom"/>
          </w:tcPr>
          <w:p>
            <w:pPr>
              <w:spacing w:after="0"/>
              <w:rPr>
                <w:sz w:val="1"/>
                <w:szCs w:val="1"/>
                <w:color w:val="auto"/>
              </w:rPr>
            </w:pPr>
          </w:p>
        </w:tc>
      </w:tr>
      <w:tr>
        <w:trPr>
          <w:trHeight w:val="445"/>
        </w:trPr>
        <w:tc>
          <w:tcPr>
            <w:tcW w:w="196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6"/>
              </w:rPr>
              <w:t>The Supervisory Board of a European stock corporation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2"/>
              </w:rPr>
              <w:t>under German law has a control and supervisory function.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The Supervisory Board does not actively manage the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5"/>
              </w:rPr>
              <w:t>company but certain Management Board actions require</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the approval of the Supervisory Board.</w:t>
            </w:r>
          </w:p>
        </w:tc>
        <w:tc>
          <w:tcPr>
            <w:tcW w:w="0" w:type="dxa"/>
            <w:vAlign w:val="bottom"/>
          </w:tcPr>
          <w:p>
            <w:pPr>
              <w:spacing w:after="0"/>
              <w:rPr>
                <w:sz w:val="1"/>
                <w:szCs w:val="1"/>
                <w:color w:val="auto"/>
              </w:rPr>
            </w:pPr>
          </w:p>
        </w:tc>
      </w:tr>
      <w:tr>
        <w:trPr>
          <w:trHeight w:val="431"/>
        </w:trPr>
        <w:tc>
          <w:tcPr>
            <w:tcW w:w="1960" w:type="dxa"/>
            <w:vAlign w:val="bottom"/>
          </w:tcPr>
          <w:p>
            <w:pPr>
              <w:spacing w:after="0"/>
              <w:rPr>
                <w:sz w:val="20"/>
                <w:szCs w:val="20"/>
                <w:color w:val="auto"/>
              </w:rPr>
            </w:pPr>
            <w:r>
              <w:rPr>
                <w:rFonts w:ascii="Arial" w:cs="Arial" w:eastAsia="Arial" w:hAnsi="Arial"/>
                <w:sz w:val="18"/>
                <w:szCs w:val="18"/>
                <w:color w:val="auto"/>
              </w:rPr>
              <w:t>Appointment and</w:t>
            </w: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3"/>
              </w:rPr>
              <w:t>Under applicable European and German law, a European</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Number of Directors</w:t>
            </w: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6"/>
              </w:rPr>
              <w:t>stock corporation governed by German law with a share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6"/>
              </w:rPr>
              <w:t>capital of at least €3 million generally must have at least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1"/>
              </w:rPr>
              <w:t>two members on its Management Board and the number 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0"/>
              </w:rPr>
              <w:t>members shall be determined by or in the manner provided</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in the company’s articles of association.</w:t>
            </w:r>
          </w:p>
        </w:tc>
        <w:tc>
          <w:tcPr>
            <w:tcW w:w="0" w:type="dxa"/>
            <w:vAlign w:val="bottom"/>
          </w:tcPr>
          <w:p>
            <w:pPr>
              <w:spacing w:after="0"/>
              <w:rPr>
                <w:sz w:val="1"/>
                <w:szCs w:val="1"/>
                <w:color w:val="auto"/>
              </w:rPr>
            </w:pPr>
          </w:p>
        </w:tc>
      </w:tr>
      <w:tr>
        <w:trPr>
          <w:trHeight w:val="445"/>
        </w:trPr>
        <w:tc>
          <w:tcPr>
            <w:tcW w:w="196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w w:val="91"/>
              </w:rPr>
              <w:t>The Supervisory Board must consist of at least three but—</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depending on the share capital—no more than 21</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4780" w:type="dxa"/>
            <w:vAlign w:val="bottom"/>
            <w:gridSpan w:val="2"/>
          </w:tcPr>
          <w:p>
            <w:pPr>
              <w:ind w:left="480"/>
              <w:spacing w:after="0"/>
              <w:rPr>
                <w:sz w:val="20"/>
                <w:szCs w:val="20"/>
                <w:color w:val="auto"/>
              </w:rPr>
            </w:pPr>
            <w:r>
              <w:rPr>
                <w:rFonts w:ascii="Arial" w:cs="Arial" w:eastAsia="Arial" w:hAnsi="Arial"/>
                <w:sz w:val="18"/>
                <w:szCs w:val="18"/>
                <w:color w:val="auto"/>
              </w:rPr>
              <w:t>Supervisory Board members, whereby the number of</w:t>
            </w:r>
          </w:p>
        </w:tc>
        <w:tc>
          <w:tcPr>
            <w:tcW w:w="0" w:type="dxa"/>
            <w:vAlign w:val="bottom"/>
          </w:tcPr>
          <w:p>
            <w:pPr>
              <w:spacing w:after="0"/>
              <w:rPr>
                <w:sz w:val="1"/>
                <w:szCs w:val="1"/>
                <w:color w:val="auto"/>
              </w:rPr>
            </w:pPr>
          </w:p>
        </w:tc>
      </w:tr>
      <w:tr>
        <w:trPr>
          <w:trHeight w:val="378"/>
        </w:trPr>
        <w:tc>
          <w:tcPr>
            <w:tcW w:w="1960" w:type="dxa"/>
            <w:vAlign w:val="bottom"/>
          </w:tcPr>
          <w:p>
            <w:pPr>
              <w:spacing w:after="0"/>
              <w:rPr>
                <w:sz w:val="24"/>
                <w:szCs w:val="24"/>
                <w:color w:val="auto"/>
              </w:rPr>
            </w:pPr>
          </w:p>
        </w:tc>
        <w:tc>
          <w:tcPr>
            <w:tcW w:w="4780" w:type="dxa"/>
            <w:vAlign w:val="bottom"/>
            <w:gridSpan w:val="2"/>
          </w:tcPr>
          <w:p>
            <w:pPr>
              <w:ind w:left="34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18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Management is responsible for running the corporation and overseeing its day-to-day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bylaws.</w:t>
      </w:r>
    </w:p>
    <w:p>
      <w:pPr>
        <w:sectPr>
          <w:pgSz w:w="11900" w:h="16838" w:orient="portrait"/>
          <w:cols w:equalWidth="0" w:num="2">
            <w:col w:w="6940" w:space="200"/>
            <w:col w:w="4040"/>
          </w:cols>
          <w:pgMar w:left="240" w:top="459" w:right="479" w:bottom="1440" w:gutter="0" w:footer="0" w:header="0"/>
          <w:type w:val="continuous"/>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4"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Supervisory Board members must be divisible by three if</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this is necessary for the fulfilment of co-determination</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requirements. The articles of association of the company</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must specify if the Supervisory Board has more than three</w:t>
            </w:r>
          </w:p>
        </w:tc>
      </w:tr>
      <w:tr>
        <w:trPr>
          <w:trHeight w:val="230"/>
        </w:trPr>
        <w:tc>
          <w:tcPr>
            <w:tcW w:w="24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members.</w:t>
            </w:r>
          </w:p>
        </w:tc>
      </w:tr>
      <w:tr>
        <w:trPr>
          <w:trHeight w:val="445"/>
        </w:trPr>
        <w:tc>
          <w:tcPr>
            <w:tcW w:w="24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5"/>
              </w:rPr>
              <w:t>Supervisory Board members are either appointed by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shareholders’ meeting or delegated by one or more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individual shareholders if so provided for in the company’s</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articles of association. If the Supervisory Board consists of</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fewer members than is required to meet the quorum for</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resolutions (either statutory or pursuant to the company’s</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articles of association), a competent court may appoint</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5"/>
              </w:rPr>
              <w:t>additional members as needed to meet the quorum.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provisions of German law in relation to employees’ co-</w:t>
            </w:r>
          </w:p>
        </w:tc>
      </w:tr>
      <w:tr>
        <w:trPr>
          <w:trHeight w:val="230"/>
        </w:trPr>
        <w:tc>
          <w:tcPr>
            <w:tcW w:w="24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determination do not apply to the Company.</w:t>
            </w:r>
          </w:p>
        </w:tc>
      </w:tr>
      <w:tr>
        <w:trPr>
          <w:trHeight w:val="431"/>
        </w:trPr>
        <w:tc>
          <w:tcPr>
            <w:tcW w:w="2440" w:type="dxa"/>
            <w:vAlign w:val="bottom"/>
          </w:tcPr>
          <w:p>
            <w:pPr>
              <w:spacing w:after="0"/>
              <w:rPr>
                <w:sz w:val="20"/>
                <w:szCs w:val="20"/>
                <w:color w:val="auto"/>
              </w:rPr>
            </w:pPr>
            <w:r>
              <w:rPr>
                <w:rFonts w:ascii="Arial" w:cs="Arial" w:eastAsia="Arial" w:hAnsi="Arial"/>
                <w:sz w:val="18"/>
                <w:szCs w:val="18"/>
                <w:color w:val="auto"/>
              </w:rPr>
              <w:t>Removal of Directors</w:t>
            </w:r>
          </w:p>
        </w:tc>
        <w:tc>
          <w:tcPr>
            <w:tcW w:w="4300" w:type="dxa"/>
            <w:vAlign w:val="bottom"/>
          </w:tcPr>
          <w:p>
            <w:pPr>
              <w:spacing w:after="0"/>
              <w:rPr>
                <w:sz w:val="20"/>
                <w:szCs w:val="20"/>
                <w:color w:val="auto"/>
              </w:rPr>
            </w:pPr>
            <w:r>
              <w:rPr>
                <w:rFonts w:ascii="Arial" w:cs="Arial" w:eastAsia="Arial" w:hAnsi="Arial"/>
                <w:sz w:val="18"/>
                <w:szCs w:val="18"/>
                <w:color w:val="auto"/>
                <w:w w:val="94"/>
              </w:rPr>
              <w:t>Members of the Management Board of a European stock</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corporation are appointed by the Supervisory Board for a</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maximum period of six years with an opportunity to be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8"/>
              </w:rPr>
              <w:t>reelected. The articles of association may provide for a</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shorter term, which in our case is up to five years.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89"/>
              </w:rPr>
              <w:t>members of the Management Board may be reelected, even</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repeatedly. The Supervisory Board may remove a member</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of the Management Board prior to the expiration of his or</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7"/>
              </w:rPr>
              <w:t>her term only for cause, such as gross breach of duties</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grobe Pflichtverletzung</w:t>
            </w:r>
            <w:r>
              <w:rPr>
                <w:rFonts w:ascii="Arial" w:cs="Arial" w:eastAsia="Arial" w:hAnsi="Arial"/>
                <w:sz w:val="18"/>
                <w:szCs w:val="18"/>
                <w:color w:val="auto"/>
              </w:rPr>
              <w:t>), the inability to manage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business properly (</w:t>
            </w:r>
            <w:r>
              <w:rPr>
                <w:rFonts w:ascii="Arial" w:cs="Arial" w:eastAsia="Arial" w:hAnsi="Arial"/>
                <w:sz w:val="18"/>
                <w:szCs w:val="18"/>
                <w:i w:val="1"/>
                <w:iCs w:val="1"/>
                <w:color w:val="auto"/>
                <w:w w:val="99"/>
              </w:rPr>
              <w:t>Unfähigkeit zur ordnungsgemäßen</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w w:val="99"/>
              </w:rPr>
              <w:t>Pflichtausübung</w:t>
            </w:r>
            <w:r>
              <w:rPr>
                <w:rFonts w:ascii="Arial" w:cs="Arial" w:eastAsia="Arial" w:hAnsi="Arial"/>
                <w:sz w:val="18"/>
                <w:szCs w:val="18"/>
                <w:color w:val="auto"/>
                <w:w w:val="99"/>
              </w:rPr>
              <w:t>) or a vote of no-confidence during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shareholders’ meeting (</w:t>
            </w:r>
            <w:r>
              <w:rPr>
                <w:rFonts w:ascii="Arial" w:cs="Arial" w:eastAsia="Arial" w:hAnsi="Arial"/>
                <w:sz w:val="18"/>
                <w:szCs w:val="18"/>
                <w:i w:val="1"/>
                <w:iCs w:val="1"/>
                <w:color w:val="auto"/>
              </w:rPr>
              <w:t>Vertrauensentzug</w:t>
            </w:r>
            <w:r>
              <w:rPr>
                <w:rFonts w:ascii="Arial" w:cs="Arial" w:eastAsia="Arial" w:hAnsi="Arial"/>
                <w:sz w:val="18"/>
                <w:szCs w:val="18"/>
                <w:color w:val="auto"/>
              </w:rPr>
              <w:t>). The</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9"/>
              </w:rPr>
              <w:t>shareholders themselves are not entitled to appoint or</w:t>
            </w:r>
          </w:p>
        </w:tc>
      </w:tr>
      <w:tr>
        <w:trPr>
          <w:trHeight w:val="230"/>
        </w:trPr>
        <w:tc>
          <w:tcPr>
            <w:tcW w:w="24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dismiss the members of the Management Board.</w:t>
            </w:r>
          </w:p>
        </w:tc>
      </w:tr>
      <w:tr>
        <w:trPr>
          <w:trHeight w:val="445"/>
        </w:trPr>
        <w:tc>
          <w:tcPr>
            <w:tcW w:w="2440" w:type="dxa"/>
            <w:vAlign w:val="bottom"/>
          </w:tcPr>
          <w:p>
            <w:pPr>
              <w:spacing w:after="0"/>
              <w:rPr>
                <w:sz w:val="24"/>
                <w:szCs w:val="24"/>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3"/>
              </w:rPr>
              <w:t>Under European law, a member of the Supervisory Board</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2"/>
              </w:rPr>
              <w:t>of a company may be elected for a term of up to six years.</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3"/>
              </w:rPr>
              <w:t>The articles of association may provide for a shorter term.</w:t>
            </w:r>
          </w:p>
        </w:tc>
      </w:tr>
      <w:tr>
        <w:trPr>
          <w:trHeight w:val="216"/>
        </w:trPr>
        <w:tc>
          <w:tcPr>
            <w:tcW w:w="2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Our Supervisory Board members are, if the general</w:t>
            </w:r>
          </w:p>
        </w:tc>
      </w:tr>
      <w:tr>
        <w:trPr>
          <w:trHeight w:val="230"/>
        </w:trPr>
        <w:tc>
          <w:tcPr>
            <w:tcW w:w="244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4"/>
              </w:rPr>
              <w:t>meeting does not resolve on a shorter term, elected for a</w:t>
            </w:r>
          </w:p>
        </w:tc>
      </w:tr>
      <w:tr>
        <w:trPr>
          <w:trHeight w:val="378"/>
        </w:trPr>
        <w:tc>
          <w:tcPr>
            <w:tcW w:w="2440" w:type="dxa"/>
            <w:vAlign w:val="bottom"/>
          </w:tcPr>
          <w:p>
            <w:pPr>
              <w:spacing w:after="0"/>
              <w:rPr>
                <w:sz w:val="24"/>
                <w:szCs w:val="24"/>
                <w:color w:val="auto"/>
              </w:rPr>
            </w:pPr>
          </w:p>
        </w:tc>
        <w:tc>
          <w:tcPr>
            <w:tcW w:w="4300" w:type="dxa"/>
            <w:vAlign w:val="bottom"/>
          </w:tcPr>
          <w:p>
            <w:pPr>
              <w:ind w:left="2940"/>
              <w:spacing w:after="0"/>
              <w:rPr>
                <w:sz w:val="20"/>
                <w:szCs w:val="20"/>
                <w:color w:val="auto"/>
              </w:rPr>
            </w:pPr>
            <w:r>
              <w:rPr>
                <w:rFonts w:ascii="Arial" w:cs="Arial" w:eastAsia="Arial" w:hAnsi="Arial"/>
                <w:sz w:val="18"/>
                <w:szCs w:val="18"/>
                <w:color w:val="auto"/>
              </w:rPr>
              <w:t>273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ectPr>
          <w:pgSz w:w="11900" w:h="16838" w:orient="portrait"/>
          <w:cols w:equalWidth="0" w:num="2">
            <w:col w:w="6940" w:space="200"/>
            <w:col w:w="4080"/>
          </w:cols>
          <w:pgMar w:left="240" w:top="460"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Vacancies on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-627380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15240</wp:posOffset>
            </wp:positionV>
            <wp:extent cx="2727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12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w:t>
      </w:r>
    </w:p>
    <w:p>
      <w:pPr>
        <w:spacing w:after="0" w:line="6"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Vacant positions on the Supervisory Board are filled in accordance with the general rules of appointment.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574" w:lineRule="exact"/>
        <w:rPr>
          <w:sz w:val="20"/>
          <w:szCs w:val="20"/>
          <w:color w:val="auto"/>
        </w:rPr>
      </w:pPr>
    </w:p>
    <w:p>
      <w:pPr>
        <w:sectPr>
          <w:pgSz w:w="11900" w:h="16838" w:orient="portrait"/>
          <w:cols w:equalWidth="0" w:num="3">
            <w:col w:w="2100" w:space="540"/>
            <w:col w:w="4260" w:space="240"/>
            <w:col w:w="4060"/>
          </w:cols>
          <w:pgMar w:left="240" w:top="459" w:right="459" w:bottom="1440" w:gutter="0" w:footer="0" w:header="0"/>
        </w:sectPr>
      </w:pPr>
    </w:p>
    <w:p>
      <w:pPr>
        <w:ind w:left="200"/>
        <w:spacing w:after="0"/>
        <w:rPr>
          <w:sz w:val="20"/>
          <w:szCs w:val="20"/>
          <w:color w:val="auto"/>
        </w:rPr>
      </w:pPr>
      <w:r>
        <w:rPr>
          <w:rFonts w:ascii="Arial" w:cs="Arial" w:eastAsia="Arial" w:hAnsi="Arial"/>
          <w:sz w:val="16"/>
          <w:szCs w:val="16"/>
          <w:color w:val="auto"/>
        </w:rPr>
        <w:t>Annual General Meeting</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A European stock corporation which is governed by German law must hold an 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996" w:lineRule="exact"/>
        <w:rPr>
          <w:sz w:val="20"/>
          <w:szCs w:val="20"/>
          <w:color w:val="auto"/>
        </w:rPr>
      </w:pPr>
    </w:p>
    <w:p>
      <w:pPr>
        <w:sectPr>
          <w:pgSz w:w="11900" w:h="16838" w:orient="portrait"/>
          <w:cols w:equalWidth="0" w:num="3">
            <w:col w:w="2000" w:space="640"/>
            <w:col w:w="4140" w:space="360"/>
            <w:col w:w="406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General Meeting</w:t>
      </w:r>
    </w:p>
    <w:p>
      <w:pPr>
        <w:spacing w:after="0" w:line="20" w:lineRule="exact"/>
        <w:rPr>
          <w:sz w:val="20"/>
          <w:szCs w:val="20"/>
          <w:color w:val="auto"/>
        </w:rPr>
      </w:pPr>
      <w:r>
        <w:rPr>
          <w:sz w:val="20"/>
          <w:szCs w:val="20"/>
          <w:color w:val="auto"/>
        </w:rPr>
        <w:br w:type="column"/>
      </w:r>
    </w:p>
    <w:p>
      <w:pPr>
        <w:spacing w:after="0" w:line="312" w:lineRule="auto"/>
        <w:rPr>
          <w:sz w:val="20"/>
          <w:szCs w:val="20"/>
          <w:color w:val="auto"/>
        </w:rPr>
      </w:pPr>
      <w:r>
        <w:rPr>
          <w:rFonts w:ascii="Arial" w:cs="Arial" w:eastAsia="Arial" w:hAnsi="Arial"/>
          <w:sz w:val="15"/>
          <w:szCs w:val="15"/>
          <w:color w:val="auto"/>
        </w:rPr>
        <w:t>Under the law, extraordinary shareholders’ meetings, in addition to the annual shareholders’ meetings, may be called by either the Management Board, or by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w:t>
      </w:r>
    </w:p>
    <w:p>
      <w:pPr>
        <w:spacing w:after="0" w:line="8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274</w:t>
      </w:r>
    </w:p>
    <w:p>
      <w:pPr>
        <w:spacing w:after="0" w:line="20" w:lineRule="exact"/>
        <w:rPr>
          <w:sz w:val="20"/>
          <w:szCs w:val="20"/>
          <w:color w:val="auto"/>
        </w:rPr>
      </w:pPr>
      <w:r>
        <w:rPr>
          <w:sz w:val="20"/>
          <w:szCs w:val="20"/>
          <w:color w:val="auto"/>
        </w:rPr>
        <w:br w:type="column"/>
      </w:r>
    </w:p>
    <w:p>
      <w:pPr>
        <w:ind w:right="100"/>
        <w:spacing w:after="0" w:line="279" w:lineRule="auto"/>
        <w:rPr>
          <w:sz w:val="20"/>
          <w:szCs w:val="20"/>
          <w:color w:val="auto"/>
        </w:rPr>
      </w:pPr>
      <w:r>
        <w:rPr>
          <w:rFonts w:ascii="Arial" w:cs="Arial" w:eastAsia="Arial" w:hAnsi="Arial"/>
          <w:sz w:val="17"/>
          <w:szCs w:val="17"/>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3">
            <w:col w:w="1920" w:space="720"/>
            <w:col w:w="4280" w:space="220"/>
            <w:col w:w="4060"/>
          </w:cols>
          <w:pgMar w:left="240" w:top="459" w:right="459" w:bottom="1440" w:gutter="0" w:footer="0" w:header="0"/>
          <w:type w:val="continuous"/>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740"/>
        <w:spacing w:after="0"/>
        <w:tabs>
          <w:tab w:leader="none" w:pos="560" w:val="left"/>
        </w:tabs>
        <w:rPr>
          <w:sz w:val="20"/>
          <w:szCs w:val="20"/>
          <w:color w:val="auto"/>
        </w:rPr>
      </w:pPr>
      <w:r>
        <w:rPr>
          <w:rFonts w:ascii="Arial" w:cs="Arial" w:eastAsia="Arial" w:hAnsi="Arial"/>
          <w:sz w:val="14"/>
          <w:szCs w:val="14"/>
          <w:b w:val="1"/>
          <w:bCs w:val="1"/>
          <w:color w:val="auto"/>
        </w:rPr>
        <w:t>European Union / 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545401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shareholders or their representative to convene the</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meeting themselves.</w:t>
      </w:r>
    </w:p>
    <w:p>
      <w:pPr>
        <w:sectPr>
          <w:pgSz w:w="11900" w:h="16838" w:orient="portrait"/>
          <w:cols w:equalWidth="0" w:num="1">
            <w:col w:w="11220"/>
          </w:cols>
          <w:pgMar w:left="240" w:top="460" w:right="439" w:bottom="1440" w:gutter="0" w:footer="0" w:header="0"/>
        </w:sectPr>
      </w:pPr>
    </w:p>
    <w:p>
      <w:pPr>
        <w:spacing w:after="0" w:line="211"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6"/>
          <w:szCs w:val="16"/>
          <w:color w:val="auto"/>
        </w:rPr>
        <w:t>Under applicable European and German law, unless a</w:t>
      </w:r>
    </w:p>
    <w:p>
      <w:pPr>
        <w:spacing w:after="0" w:line="23" w:lineRule="exact"/>
        <w:rPr>
          <w:sz w:val="20"/>
          <w:szCs w:val="20"/>
          <w:color w:val="auto"/>
        </w:rPr>
      </w:pPr>
    </w:p>
    <w:p>
      <w:pPr>
        <w:ind w:left="2640" w:right="80"/>
        <w:spacing w:after="0" w:line="267" w:lineRule="auto"/>
        <w:rPr>
          <w:sz w:val="20"/>
          <w:szCs w:val="20"/>
          <w:color w:val="auto"/>
        </w:rPr>
      </w:pPr>
      <w:r>
        <w:rPr>
          <w:rFonts w:ascii="Arial" w:cs="Arial" w:eastAsia="Arial" w:hAnsi="Arial"/>
          <w:sz w:val="17"/>
          <w:szCs w:val="17"/>
          <w:color w:val="auto"/>
        </w:rPr>
        <w:t>longer period is otherwise provided 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212" w:lineRule="exact"/>
        <w:rPr>
          <w:sz w:val="20"/>
          <w:szCs w:val="20"/>
          <w:color w:val="auto"/>
        </w:rPr>
      </w:pPr>
    </w:p>
    <w:p>
      <w:pPr>
        <w:ind w:left="2640" w:right="60"/>
        <w:spacing w:after="0" w:line="279" w:lineRule="auto"/>
        <w:rPr>
          <w:sz w:val="20"/>
          <w:szCs w:val="20"/>
          <w:color w:val="auto"/>
        </w:rPr>
      </w:pPr>
      <w:r>
        <w:rPr>
          <w:rFonts w:ascii="Arial" w:cs="Arial" w:eastAsia="Arial" w:hAnsi="Arial"/>
          <w:sz w:val="17"/>
          <w:szCs w:val="17"/>
          <w:color w:val="auto"/>
        </w:rPr>
        <w:t>If all shareholders entitled to attend the shareholders’ meeting are present or represented and do not object to the meeting being held, the formalities of calling and holding of a shareholders’ meeting do not apply.</w:t>
      </w:r>
    </w:p>
    <w:p>
      <w:pPr>
        <w:spacing w:after="0" w:line="185"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7"/>
          <w:szCs w:val="17"/>
          <w:color w:val="auto"/>
        </w:rPr>
        <w:t>Proxy</w:t>
      </w:r>
      <w:r>
        <w:rPr>
          <w:sz w:val="20"/>
          <w:szCs w:val="20"/>
          <w:color w:val="auto"/>
        </w:rPr>
        <w:tab/>
      </w:r>
      <w:r>
        <w:rPr>
          <w:rFonts w:ascii="Arial" w:cs="Arial" w:eastAsia="Arial" w:hAnsi="Arial"/>
          <w:sz w:val="17"/>
          <w:szCs w:val="17"/>
          <w:color w:val="auto"/>
        </w:rPr>
        <w:t>A shareholder may designate another person to attend,</w:t>
      </w:r>
    </w:p>
    <w:p>
      <w:pPr>
        <w:spacing w:after="0" w:line="35" w:lineRule="exact"/>
        <w:rPr>
          <w:sz w:val="20"/>
          <w:szCs w:val="20"/>
          <w:color w:val="auto"/>
        </w:rPr>
      </w:pPr>
    </w:p>
    <w:p>
      <w:pPr>
        <w:ind w:left="2640" w:right="120"/>
        <w:spacing w:after="0" w:line="261" w:lineRule="auto"/>
        <w:rPr>
          <w:sz w:val="20"/>
          <w:szCs w:val="20"/>
          <w:color w:val="auto"/>
        </w:rPr>
      </w:pPr>
      <w:r>
        <w:rPr>
          <w:rFonts w:ascii="Arial" w:cs="Arial" w:eastAsia="Arial" w:hAnsi="Arial"/>
          <w:sz w:val="18"/>
          <w:szCs w:val="18"/>
          <w:color w:val="auto"/>
        </w:rPr>
        <w:t>speak and vote at a shareholders’ meeting of the company on such shareholder’s behalf by proxy.</w:t>
      </w:r>
    </w:p>
    <w:p>
      <w:pPr>
        <w:spacing w:after="0" w:line="211" w:lineRule="exact"/>
        <w:rPr>
          <w:sz w:val="20"/>
          <w:szCs w:val="20"/>
          <w:color w:val="auto"/>
        </w:rPr>
      </w:pPr>
    </w:p>
    <w:p>
      <w:pPr>
        <w:ind w:left="2640" w:right="220"/>
        <w:spacing w:after="0" w:line="312" w:lineRule="auto"/>
        <w:rPr>
          <w:sz w:val="20"/>
          <w:szCs w:val="20"/>
          <w:color w:val="auto"/>
        </w:rPr>
      </w:pPr>
      <w:r>
        <w:rPr>
          <w:rFonts w:ascii="Arial" w:cs="Arial" w:eastAsia="Arial" w:hAnsi="Arial"/>
          <w:sz w:val="16"/>
          <w:szCs w:val="16"/>
          <w:color w:val="auto"/>
        </w:rPr>
        <w:t>With respect to Management Board meetings, a Management Board member may transmit its (written or verbal) vote via another Management Board member.</w:t>
      </w:r>
    </w:p>
    <w:p>
      <w:pPr>
        <w:spacing w:after="0" w:line="174" w:lineRule="exact"/>
        <w:rPr>
          <w:sz w:val="20"/>
          <w:szCs w:val="20"/>
          <w:color w:val="auto"/>
        </w:rPr>
      </w:pPr>
    </w:p>
    <w:p>
      <w:pPr>
        <w:ind w:left="2640" w:right="20"/>
        <w:spacing w:after="0" w:line="257" w:lineRule="auto"/>
        <w:rPr>
          <w:sz w:val="20"/>
          <w:szCs w:val="20"/>
          <w:color w:val="auto"/>
        </w:rPr>
      </w:pPr>
      <w:r>
        <w:rPr>
          <w:rFonts w:ascii="Arial" w:cs="Arial" w:eastAsia="Arial" w:hAnsi="Arial"/>
          <w:sz w:val="18"/>
          <w:szCs w:val="18"/>
          <w:color w:val="auto"/>
        </w:rPr>
        <w:t>With respect to Supervisory Board meetings, a Supervisory Board member may participate in voting by issuing a written vote to another Supervisory Board member or any third party entitled to attend the Supervisory Board meeting.</w:t>
      </w:r>
    </w:p>
    <w:p>
      <w:pPr>
        <w:spacing w:after="0" w:line="202"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6"/>
          <w:szCs w:val="16"/>
          <w:color w:val="auto"/>
        </w:rPr>
        <w:t>Under the law applicable to European stock corporations</w:t>
      </w:r>
    </w:p>
    <w:p>
      <w:pPr>
        <w:spacing w:after="0" w:line="23" w:lineRule="exact"/>
        <w:rPr>
          <w:sz w:val="20"/>
          <w:szCs w:val="20"/>
          <w:color w:val="auto"/>
        </w:rPr>
      </w:pPr>
    </w:p>
    <w:p>
      <w:pPr>
        <w:ind w:left="2640"/>
        <w:spacing w:after="0" w:line="295" w:lineRule="auto"/>
        <w:rPr>
          <w:sz w:val="20"/>
          <w:szCs w:val="20"/>
          <w:color w:val="auto"/>
        </w:rPr>
      </w:pPr>
      <w:r>
        <w:rPr>
          <w:rFonts w:ascii="Arial" w:cs="Arial" w:eastAsia="Arial" w:hAnsi="Arial"/>
          <w:sz w:val="16"/>
          <w:szCs w:val="16"/>
          <w:color w:val="auto"/>
        </w:rPr>
        <w:t>governed by German law, existing shareholders have a statutory subscription right for any additional issue of shares or any security convertible into shares pro rata to the nominal value of their respective holdings in the company,</w:t>
      </w:r>
    </w:p>
    <w:p>
      <w:pPr>
        <w:spacing w:after="0" w:line="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275</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6920" w:space="220"/>
            <w:col w:w="4080"/>
          </w:cols>
          <w:pgMar w:left="240" w:top="460" w:right="439" w:bottom="1440" w:gutter="0" w:footer="0" w:header="0"/>
          <w:type w:val="continuous"/>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1740"/>
        <w:spacing w:after="0"/>
        <w:tabs>
          <w:tab w:leader="none" w:pos="560" w:val="left"/>
        </w:tabs>
        <w:rPr>
          <w:sz w:val="20"/>
          <w:szCs w:val="20"/>
          <w:color w:val="auto"/>
        </w:rPr>
      </w:pPr>
      <w:r>
        <w:rPr>
          <w:rFonts w:ascii="Arial" w:cs="Arial" w:eastAsia="Arial" w:hAnsi="Arial"/>
          <w:sz w:val="14"/>
          <w:szCs w:val="14"/>
          <w:b w:val="1"/>
          <w:bCs w:val="1"/>
          <w:color w:val="auto"/>
        </w:rPr>
        <w:t>European Union / Federal Republic of Germany</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545401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454015" cy="8890"/>
                    </a:xfrm>
                    <a:prstGeom prst="rect">
                      <a:avLst/>
                    </a:prstGeom>
                    <a:noFill/>
                  </pic:spPr>
                </pic:pic>
              </a:graphicData>
            </a:graphic>
          </wp:anchor>
        </w:drawing>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unless (i) shareholders representing three-quarters of the</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registered share capital present at the shareholders’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meeting have resolved upon the whole or partial exclusion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of the subscription right and (ii) there exists good and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objective cause for such exclusion. No separate resolution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on the exclusion of subscription rights is required if all</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shareholders waive their statutory subscription rights.</w:t>
      </w:r>
    </w:p>
    <w:p>
      <w:pPr>
        <w:sectPr>
          <w:pgSz w:w="11900" w:h="16838" w:orient="portrait"/>
          <w:cols w:equalWidth="0" w:num="1">
            <w:col w:w="11220"/>
          </w:cols>
          <w:pgMar w:left="240" w:top="460" w:right="439" w:bottom="1440" w:gutter="0" w:footer="0" w:header="0"/>
        </w:sectPr>
      </w:pPr>
    </w:p>
    <w:p>
      <w:pPr>
        <w:spacing w:after="0" w:line="211"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applicable European and German law, the</w:t>
      </w:r>
    </w:p>
    <w:p>
      <w:pPr>
        <w:spacing w:after="0" w:line="23" w:lineRule="exact"/>
        <w:rPr>
          <w:sz w:val="20"/>
          <w:szCs w:val="20"/>
          <w:color w:val="auto"/>
        </w:rPr>
      </w:pPr>
    </w:p>
    <w:p>
      <w:pPr>
        <w:ind w:left="2640"/>
        <w:spacing w:after="0" w:line="252" w:lineRule="auto"/>
        <w:rPr>
          <w:sz w:val="20"/>
          <w:szCs w:val="20"/>
          <w:color w:val="auto"/>
        </w:rPr>
      </w:pPr>
      <w:r>
        <w:rPr>
          <w:rFonts w:ascii="Arial" w:cs="Arial" w:eastAsia="Arial" w:hAnsi="Arial"/>
          <w:sz w:val="18"/>
          <w:szCs w:val="18"/>
          <w:color w:val="auto"/>
        </w:rPr>
        <w:t>Management Board may not 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193" w:lineRule="exact"/>
        <w:rPr>
          <w:sz w:val="20"/>
          <w:szCs w:val="20"/>
          <w:color w:val="auto"/>
        </w:rPr>
      </w:pPr>
    </w:p>
    <w:p>
      <w:pPr>
        <w:sectPr>
          <w:pgSz w:w="11900" w:h="16838" w:orient="portrait"/>
          <w:cols w:equalWidth="0" w:num="2">
            <w:col w:w="6900" w:space="240"/>
            <w:col w:w="4080"/>
          </w:cols>
          <w:pgMar w:left="240" w:top="460" w:right="439" w:bottom="1440" w:gutter="0" w:footer="0" w:header="0"/>
          <w:type w:val="continuous"/>
        </w:sectPr>
      </w:pPr>
    </w:p>
    <w:p>
      <w:pPr>
        <w:ind w:left="200"/>
        <w:spacing w:after="0"/>
        <w:tabs>
          <w:tab w:leader="none" w:pos="2620" w:val="left"/>
        </w:tabs>
        <w:rPr>
          <w:sz w:val="20"/>
          <w:szCs w:val="20"/>
          <w:color w:val="auto"/>
        </w:rPr>
      </w:pPr>
      <w:r>
        <w:rPr>
          <w:rFonts w:ascii="Arial" w:cs="Arial" w:eastAsia="Arial" w:hAnsi="Arial"/>
          <w:sz w:val="18"/>
          <w:szCs w:val="18"/>
          <w:color w:val="auto"/>
        </w:rPr>
        <w:t>Liability of Directors and</w:t>
      </w:r>
      <w:r>
        <w:rPr>
          <w:sz w:val="20"/>
          <w:szCs w:val="20"/>
          <w:color w:val="auto"/>
        </w:rPr>
        <w:tab/>
      </w:r>
      <w:r>
        <w:rPr>
          <w:rFonts w:ascii="Arial" w:cs="Arial" w:eastAsia="Arial" w:hAnsi="Arial"/>
          <w:sz w:val="16"/>
          <w:szCs w:val="16"/>
          <w:color w:val="auto"/>
        </w:rPr>
        <w:t>Under German law, any provision, whether contained in</w:t>
      </w:r>
    </w:p>
    <w:p>
      <w:pPr>
        <w:spacing w:after="0" w:line="23"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7"/>
          <w:szCs w:val="17"/>
          <w:color w:val="auto"/>
        </w:rPr>
        <w:t>Officers</w:t>
      </w:r>
      <w:r>
        <w:rPr>
          <w:sz w:val="20"/>
          <w:szCs w:val="20"/>
          <w:color w:val="auto"/>
        </w:rPr>
        <w:tab/>
      </w:r>
      <w:r>
        <w:rPr>
          <w:rFonts w:ascii="Arial" w:cs="Arial" w:eastAsia="Arial" w:hAnsi="Arial"/>
          <w:sz w:val="17"/>
          <w:szCs w:val="17"/>
          <w:color w:val="auto"/>
        </w:rPr>
        <w:t>the company’s articles of association or any contract or</w:t>
      </w:r>
    </w:p>
    <w:p>
      <w:pPr>
        <w:spacing w:after="0" w:line="21" w:lineRule="exact"/>
        <w:rPr>
          <w:sz w:val="20"/>
          <w:szCs w:val="20"/>
          <w:color w:val="auto"/>
        </w:rPr>
      </w:pPr>
    </w:p>
    <w:p>
      <w:pPr>
        <w:ind w:left="2640"/>
        <w:spacing w:after="0" w:line="271" w:lineRule="auto"/>
        <w:rPr>
          <w:sz w:val="20"/>
          <w:szCs w:val="20"/>
          <w:color w:val="auto"/>
        </w:rPr>
      </w:pPr>
      <w:r>
        <w:rPr>
          <w:rFonts w:ascii="Arial" w:cs="Arial" w:eastAsia="Arial" w:hAnsi="Arial"/>
          <w:sz w:val="17"/>
          <w:szCs w:val="17"/>
          <w:color w:val="auto"/>
        </w:rPr>
        <w:t>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84" w:lineRule="exact"/>
        <w:rPr>
          <w:sz w:val="20"/>
          <w:szCs w:val="20"/>
          <w:color w:val="auto"/>
        </w:rPr>
      </w:pPr>
    </w:p>
    <w:p>
      <w:pPr>
        <w:ind w:left="2640" w:right="20"/>
        <w:spacing w:after="0" w:line="270" w:lineRule="auto"/>
        <w:rPr>
          <w:sz w:val="20"/>
          <w:szCs w:val="20"/>
          <w:color w:val="auto"/>
        </w:rPr>
      </w:pPr>
      <w:r>
        <w:rPr>
          <w:rFonts w:ascii="Arial" w:cs="Arial" w:eastAsia="Arial" w:hAnsi="Arial"/>
          <w:sz w:val="17"/>
          <w:szCs w:val="17"/>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claims for damages against a negligent Management or Supervisory Board member only after the expiry of three years.</w:t>
      </w: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276</w:t>
      </w:r>
    </w:p>
    <w:p>
      <w:pPr>
        <w:spacing w:after="0" w:line="20" w:lineRule="exact"/>
        <w:rPr>
          <w:sz w:val="20"/>
          <w:szCs w:val="20"/>
          <w:color w:val="auto"/>
        </w:rPr>
      </w:pPr>
      <w:r>
        <w:rPr>
          <w:sz w:val="20"/>
          <w:szCs w:val="20"/>
          <w:color w:val="auto"/>
        </w:rPr>
        <w:br w:type="column"/>
      </w:r>
    </w:p>
    <w:p>
      <w:pPr>
        <w:ind w:right="120"/>
        <w:spacing w:after="0" w:line="293"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70" w:lineRule="exact"/>
        <w:rPr>
          <w:sz w:val="20"/>
          <w:szCs w:val="20"/>
          <w:color w:val="auto"/>
        </w:rPr>
      </w:pPr>
    </w:p>
    <w:p>
      <w:pPr>
        <w:ind w:left="720" w:right="100" w:hanging="264"/>
        <w:spacing w:after="0" w:line="308" w:lineRule="auto"/>
        <w:tabs>
          <w:tab w:leader="none" w:pos="704"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corporation or its stockholders;</w:t>
      </w:r>
    </w:p>
    <w:p>
      <w:pPr>
        <w:spacing w:after="0" w:line="51" w:lineRule="exact"/>
        <w:rPr>
          <w:rFonts w:ascii="Arial" w:cs="Arial" w:eastAsia="Arial" w:hAnsi="Arial"/>
          <w:sz w:val="17"/>
          <w:szCs w:val="17"/>
          <w:color w:val="auto"/>
        </w:rPr>
      </w:pPr>
    </w:p>
    <w:p>
      <w:pPr>
        <w:ind w:left="720" w:right="120" w:hanging="264"/>
        <w:spacing w:after="0" w:line="264" w:lineRule="auto"/>
        <w:tabs>
          <w:tab w:leader="none" w:pos="70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86" w:lineRule="exact"/>
        <w:rPr>
          <w:rFonts w:ascii="Arial" w:cs="Arial" w:eastAsia="Arial" w:hAnsi="Arial"/>
          <w:sz w:val="18"/>
          <w:szCs w:val="18"/>
          <w:color w:val="auto"/>
        </w:rPr>
      </w:pPr>
    </w:p>
    <w:p>
      <w:pPr>
        <w:jc w:val="both"/>
        <w:ind w:left="720" w:right="100" w:hanging="264"/>
        <w:spacing w:after="0" w:line="264" w:lineRule="auto"/>
        <w:tabs>
          <w:tab w:leader="none" w:pos="70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pacing w:after="0" w:line="86" w:lineRule="exact"/>
        <w:rPr>
          <w:rFonts w:ascii="Arial" w:cs="Arial" w:eastAsia="Arial" w:hAnsi="Arial"/>
          <w:sz w:val="18"/>
          <w:szCs w:val="18"/>
          <w:color w:val="auto"/>
        </w:rPr>
      </w:pPr>
    </w:p>
    <w:p>
      <w:pPr>
        <w:ind w:left="720" w:right="520" w:hanging="264"/>
        <w:spacing w:after="0" w:line="342" w:lineRule="auto"/>
        <w:tabs>
          <w:tab w:leader="none" w:pos="704"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any transaction from which the director derives an improper personal benefit.</w:t>
      </w:r>
    </w:p>
    <w:p>
      <w:pPr>
        <w:sectPr>
          <w:pgSz w:w="11900" w:h="16838" w:orient="portrait"/>
          <w:cols w:equalWidth="0" w:num="2">
            <w:col w:w="6900" w:space="240"/>
            <w:col w:w="4080"/>
          </w:cols>
          <w:pgMar w:left="240" w:top="460" w:right="439" w:bottom="1440" w:gutter="0" w:footer="0" w:header="0"/>
          <w:type w:val="continuous"/>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European Union / Federal Republic of Germany</w:t>
            </w:r>
          </w:p>
        </w:tc>
      </w:tr>
      <w:tr>
        <w:trPr>
          <w:trHeight w:val="398"/>
        </w:trPr>
        <w:tc>
          <w:tcPr>
            <w:tcW w:w="1720" w:type="dxa"/>
            <w:vAlign w:val="bottom"/>
          </w:tcPr>
          <w:p>
            <w:pPr>
              <w:spacing w:after="0"/>
              <w:rPr>
                <w:sz w:val="20"/>
                <w:szCs w:val="20"/>
                <w:color w:val="auto"/>
              </w:rPr>
            </w:pPr>
            <w:r>
              <w:rPr>
                <w:rFonts w:ascii="Arial" w:cs="Arial" w:eastAsia="Arial" w:hAnsi="Arial"/>
                <w:sz w:val="18"/>
                <w:szCs w:val="18"/>
                <w:color w:val="auto"/>
              </w:rPr>
              <w:t>Voting Rights</w:t>
            </w: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0"/>
              </w:rPr>
              <w:t>Under the relevant European and German law, each share,</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9"/>
              </w:rPr>
              <w:t>except for statutory non-voting preferred shares (</w:t>
            </w:r>
            <w:r>
              <w:rPr>
                <w:rFonts w:ascii="Arial" w:cs="Arial" w:eastAsia="Arial" w:hAnsi="Arial"/>
                <w:sz w:val="18"/>
                <w:szCs w:val="18"/>
                <w:i w:val="1"/>
                <w:iCs w:val="1"/>
                <w:color w:val="auto"/>
                <w:w w:val="99"/>
              </w:rPr>
              <w:t>nicht</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i w:val="1"/>
                <w:iCs w:val="1"/>
                <w:color w:val="auto"/>
                <w:w w:val="91"/>
              </w:rPr>
              <w:t>stimmberechtigte Vorzugsaktien</w:t>
            </w:r>
            <w:r>
              <w:rPr>
                <w:rFonts w:ascii="Arial" w:cs="Arial" w:eastAsia="Arial" w:hAnsi="Arial"/>
                <w:sz w:val="18"/>
                <w:szCs w:val="18"/>
                <w:color w:val="auto"/>
                <w:w w:val="91"/>
              </w:rPr>
              <w:t>), entitles its holder to vote</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7"/>
              </w:rPr>
              <w:t>at the shareholders’ meeting with, in the case of no-par</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rPr>
              <w:t>value shares, each share conferring one vote. While</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5"/>
              </w:rPr>
              <w:t>German law does not provide for a minimum attendance</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1"/>
              </w:rPr>
              <w:t>quorum for shareholders’ meetings, the company’s articles</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rPr>
              <w:t>of association may so provide. In general, resolutions</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5"/>
              </w:rPr>
              <w:t>adopted at a shareholders’ meeting may be passed by a</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w w:val="96"/>
              </w:rPr>
              <w:t>simple majority of votes cast, unless a higher majority is</w:t>
            </w:r>
          </w:p>
        </w:tc>
      </w:tr>
      <w:tr>
        <w:trPr>
          <w:trHeight w:val="216"/>
        </w:trPr>
        <w:tc>
          <w:tcPr>
            <w:tcW w:w="1720" w:type="dxa"/>
            <w:vAlign w:val="bottom"/>
          </w:tcPr>
          <w:p>
            <w:pPr>
              <w:spacing w:after="0"/>
              <w:rPr>
                <w:sz w:val="18"/>
                <w:szCs w:val="18"/>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rPr>
              <w:t>required by law or under the company’s articles of</w:t>
            </w:r>
          </w:p>
        </w:tc>
      </w:tr>
      <w:tr>
        <w:trPr>
          <w:trHeight w:val="230"/>
        </w:trPr>
        <w:tc>
          <w:tcPr>
            <w:tcW w:w="1720" w:type="dxa"/>
            <w:vAlign w:val="bottom"/>
          </w:tcPr>
          <w:p>
            <w:pPr>
              <w:spacing w:after="0"/>
              <w:rPr>
                <w:sz w:val="20"/>
                <w:szCs w:val="20"/>
                <w:color w:val="auto"/>
              </w:rPr>
            </w:pPr>
          </w:p>
        </w:tc>
        <w:tc>
          <w:tcPr>
            <w:tcW w:w="5020" w:type="dxa"/>
            <w:vAlign w:val="bottom"/>
            <w:gridSpan w:val="2"/>
          </w:tcPr>
          <w:p>
            <w:pPr>
              <w:ind w:left="720"/>
              <w:spacing w:after="0"/>
              <w:rPr>
                <w:sz w:val="20"/>
                <w:szCs w:val="20"/>
                <w:color w:val="auto"/>
              </w:rPr>
            </w:pPr>
            <w:r>
              <w:rPr>
                <w:rFonts w:ascii="Arial" w:cs="Arial" w:eastAsia="Arial" w:hAnsi="Arial"/>
                <w:sz w:val="18"/>
                <w:szCs w:val="18"/>
                <w:color w:val="auto"/>
              </w:rPr>
              <w:t>association.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pacing w:after="0" w:line="1913" w:lineRule="exact"/>
        <w:rPr>
          <w:sz w:val="20"/>
          <w:szCs w:val="20"/>
          <w:color w:val="auto"/>
        </w:rPr>
      </w:pPr>
    </w:p>
    <w:p>
      <w:pPr>
        <w:sectPr>
          <w:pgSz w:w="11900" w:h="16838" w:orient="portrait"/>
          <w:cols w:equalWidth="0" w:num="2">
            <w:col w:w="6940" w:space="200"/>
            <w:col w:w="4060"/>
          </w:cols>
          <w:pgMar w:left="240" w:top="460" w:right="459" w:bottom="1440" w:gutter="0" w:footer="0" w:header="0"/>
        </w:sectPr>
      </w:pPr>
    </w:p>
    <w:p>
      <w:pPr>
        <w:spacing w:after="0" w:line="2"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Shareholder Vote on Certain</w:t>
      </w:r>
      <w:r>
        <w:rPr>
          <w:sz w:val="20"/>
          <w:szCs w:val="20"/>
          <w:color w:val="auto"/>
        </w:rPr>
        <w:tab/>
      </w:r>
      <w:r>
        <w:rPr>
          <w:rFonts w:ascii="Arial" w:cs="Arial" w:eastAsia="Arial" w:hAnsi="Arial"/>
          <w:sz w:val="16"/>
          <w:szCs w:val="16"/>
          <w:color w:val="auto"/>
        </w:rPr>
        <w:t>Under applicable European and German law, certain</w:t>
      </w:r>
    </w:p>
    <w:p>
      <w:pPr>
        <w:spacing w:after="0" w:line="23"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Transactions</w:t>
      </w:r>
      <w:r>
        <w:rPr>
          <w:sz w:val="20"/>
          <w:szCs w:val="20"/>
          <w:color w:val="auto"/>
        </w:rPr>
        <w:tab/>
      </w:r>
      <w:r>
        <w:rPr>
          <w:rFonts w:ascii="Arial" w:cs="Arial" w:eastAsia="Arial" w:hAnsi="Arial"/>
          <w:sz w:val="18"/>
          <w:szCs w:val="18"/>
          <w:color w:val="auto"/>
        </w:rPr>
        <w:t>shareholders’ resolutions of fundamental importance</w:t>
      </w:r>
    </w:p>
    <w:p>
      <w:pPr>
        <w:spacing w:after="0" w:line="9" w:lineRule="exact"/>
        <w:rPr>
          <w:sz w:val="20"/>
          <w:szCs w:val="20"/>
          <w:color w:val="auto"/>
        </w:rPr>
      </w:pPr>
    </w:p>
    <w:p>
      <w:pPr>
        <w:ind w:left="2640" w:right="20"/>
        <w:spacing w:after="0" w:line="267" w:lineRule="auto"/>
        <w:rPr>
          <w:sz w:val="20"/>
          <w:szCs w:val="20"/>
          <w:color w:val="auto"/>
        </w:rPr>
      </w:pPr>
      <w:r>
        <w:rPr>
          <w:rFonts w:ascii="Arial" w:cs="Arial" w:eastAsia="Arial" w:hAnsi="Arial"/>
          <w:sz w:val="17"/>
          <w:szCs w:val="17"/>
          <w:color w:val="auto"/>
        </w:rPr>
        <w:t>require the vote of at least three-quarters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7"/>
          <w:szCs w:val="17"/>
          <w:i w:val="1"/>
          <w:iCs w:val="1"/>
          <w:color w:val="auto"/>
        </w:rPr>
        <w:t>Unternehmensverträge</w:t>
      </w:r>
      <w:r>
        <w:rPr>
          <w:rFonts w:ascii="Arial" w:cs="Arial" w:eastAsia="Arial" w:hAnsi="Arial"/>
          <w:sz w:val="17"/>
          <w:szCs w:val="17"/>
          <w:color w:val="auto"/>
        </w:rPr>
        <w:t>), in particular domination agreements (</w:t>
      </w:r>
      <w:r>
        <w:rPr>
          <w:rFonts w:ascii="Arial" w:cs="Arial" w:eastAsia="Arial" w:hAnsi="Arial"/>
          <w:sz w:val="17"/>
          <w:szCs w:val="17"/>
          <w:i w:val="1"/>
          <w:iCs w:val="1"/>
          <w:color w:val="auto"/>
        </w:rPr>
        <w:t>Beherrschungsverträge</w:t>
      </w:r>
      <w:r>
        <w:rPr>
          <w:rFonts w:ascii="Arial" w:cs="Arial" w:eastAsia="Arial" w:hAnsi="Arial"/>
          <w:sz w:val="17"/>
          <w:szCs w:val="17"/>
          <w:color w:val="auto"/>
        </w:rPr>
        <w:t>) and profit and loss transfer agreements (</w:t>
      </w:r>
      <w:r>
        <w:rPr>
          <w:rFonts w:ascii="Arial" w:cs="Arial" w:eastAsia="Arial" w:hAnsi="Arial"/>
          <w:sz w:val="17"/>
          <w:szCs w:val="17"/>
          <w:i w:val="1"/>
          <w:iCs w:val="1"/>
          <w:color w:val="auto"/>
        </w:rPr>
        <w:t>Ergebnisabführungsverträge</w:t>
      </w:r>
      <w:r>
        <w:rPr>
          <w:rFonts w:ascii="Arial" w:cs="Arial" w:eastAsia="Arial" w:hAnsi="Arial"/>
          <w:sz w:val="17"/>
          <w:szCs w:val="17"/>
          <w:color w:val="auto"/>
        </w:rPr>
        <w:t>).</w:t>
      </w:r>
    </w:p>
    <w:p>
      <w:pPr>
        <w:spacing w:after="0" w:line="185"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Standard of Conduct for</w:t>
      </w:r>
      <w:r>
        <w:rPr>
          <w:sz w:val="20"/>
          <w:szCs w:val="20"/>
          <w:color w:val="auto"/>
        </w:rPr>
        <w:tab/>
      </w:r>
      <w:r>
        <w:rPr>
          <w:rFonts w:ascii="Arial" w:cs="Arial" w:eastAsia="Arial" w:hAnsi="Arial"/>
          <w:sz w:val="16"/>
          <w:szCs w:val="16"/>
          <w:color w:val="auto"/>
        </w:rPr>
        <w:t>Under applicable European and German law, both</w:t>
      </w:r>
    </w:p>
    <w:p>
      <w:pPr>
        <w:spacing w:after="0" w:line="23" w:lineRule="exact"/>
        <w:rPr>
          <w:sz w:val="20"/>
          <w:szCs w:val="20"/>
          <w:color w:val="auto"/>
        </w:rPr>
      </w:pPr>
    </w:p>
    <w:p>
      <w:pPr>
        <w:ind w:left="200"/>
        <w:spacing w:after="0"/>
        <w:tabs>
          <w:tab w:leader="none" w:pos="262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Management and Supervisory Board members must</w:t>
      </w:r>
    </w:p>
    <w:p>
      <w:pPr>
        <w:spacing w:after="0" w:line="9" w:lineRule="exact"/>
        <w:rPr>
          <w:sz w:val="20"/>
          <w:szCs w:val="20"/>
          <w:color w:val="auto"/>
        </w:rPr>
      </w:pPr>
    </w:p>
    <w:p>
      <w:pPr>
        <w:ind w:left="2640"/>
        <w:spacing w:after="0" w:line="292" w:lineRule="auto"/>
        <w:rPr>
          <w:sz w:val="20"/>
          <w:szCs w:val="20"/>
          <w:color w:val="auto"/>
        </w:rPr>
      </w:pPr>
      <w:r>
        <w:rPr>
          <w:rFonts w:ascii="Arial" w:cs="Arial" w:eastAsia="Arial" w:hAnsi="Arial"/>
          <w:sz w:val="16"/>
          <w:szCs w:val="16"/>
          <w:color w:val="auto"/>
        </w:rPr>
        <w:t>conduct their affairs with “the care and diligence of a prudent business man” and act in the best interest of the company. The scope of the fiduciary duties of Management and Supervisory Board members is generally determined by European and German legislation and by the courts.</w:t>
      </w:r>
    </w:p>
    <w:p>
      <w:pPr>
        <w:spacing w:after="0" w:line="19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Statutory and fiduciary duties of members of the</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Management Board to the company include, among others: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277</w:t>
      </w:r>
    </w:p>
    <w:p>
      <w:pPr>
        <w:spacing w:after="0" w:line="20" w:lineRule="exact"/>
        <w:rPr>
          <w:sz w:val="20"/>
          <w:szCs w:val="20"/>
          <w:color w:val="auto"/>
        </w:rPr>
      </w:pPr>
      <w:r>
        <w:rPr>
          <w:sz w:val="20"/>
          <w:szCs w:val="20"/>
          <w:color w:val="auto"/>
        </w:rPr>
        <w:br w:type="column"/>
      </w:r>
    </w:p>
    <w:p>
      <w:pPr>
        <w:spacing w:after="0" w:line="297"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85" w:lineRule="exact"/>
        <w:rPr>
          <w:sz w:val="20"/>
          <w:szCs w:val="20"/>
          <w:color w:val="auto"/>
        </w:rPr>
      </w:pPr>
    </w:p>
    <w:p>
      <w:pPr>
        <w:ind w:left="720" w:hanging="264"/>
        <w:spacing w:after="0"/>
        <w:tabs>
          <w:tab w:leader="none" w:pos="7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approval of the board of directors; and</w:t>
      </w:r>
    </w:p>
    <w:p>
      <w:pPr>
        <w:spacing w:after="0" w:line="142" w:lineRule="exact"/>
        <w:rPr>
          <w:rFonts w:ascii="Arial" w:cs="Arial" w:eastAsia="Arial" w:hAnsi="Arial"/>
          <w:sz w:val="17"/>
          <w:szCs w:val="17"/>
          <w:color w:val="auto"/>
        </w:rPr>
      </w:pPr>
    </w:p>
    <w:p>
      <w:pPr>
        <w:ind w:left="720" w:right="80" w:hanging="264"/>
        <w:spacing w:after="0" w:line="293" w:lineRule="auto"/>
        <w:tabs>
          <w:tab w:leader="none" w:pos="70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3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20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stockholders. The duty of care generally requires that a</w:t>
      </w:r>
    </w:p>
    <w:p>
      <w:pPr>
        <w:sectPr>
          <w:pgSz w:w="11900" w:h="16838" w:orient="portrait"/>
          <w:cols w:equalWidth="0" w:num="2">
            <w:col w:w="6920" w:space="220"/>
            <w:col w:w="4060"/>
          </w:cols>
          <w:pgMar w:left="240" w:top="460" w:right="459" w:bottom="1440" w:gutter="0" w:footer="0" w:header="0"/>
          <w:type w:val="continuous"/>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27273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46" w:lineRule="exact"/>
        <w:rPr>
          <w:sz w:val="20"/>
          <w:szCs w:val="20"/>
          <w:color w:val="auto"/>
        </w:rPr>
      </w:pPr>
    </w:p>
    <w:p>
      <w:pPr>
        <w:jc w:val="both"/>
        <w:ind w:left="3360" w:right="60" w:hanging="275"/>
        <w:spacing w:after="0" w:line="312" w:lineRule="auto"/>
        <w:tabs>
          <w:tab w:leader="none" w:pos="334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to act in accordance with the law, the company’s articles of association and the rules of procedure for the Management Board, if any;</w:t>
      </w:r>
    </w:p>
    <w:p>
      <w:pPr>
        <w:spacing w:after="0" w:line="52" w:lineRule="exact"/>
        <w:rPr>
          <w:rFonts w:ascii="Arial" w:cs="Arial" w:eastAsia="Arial" w:hAnsi="Arial"/>
          <w:sz w:val="16"/>
          <w:szCs w:val="16"/>
          <w:color w:val="auto"/>
        </w:rPr>
      </w:pPr>
    </w:p>
    <w:p>
      <w:pPr>
        <w:jc w:val="both"/>
        <w:ind w:left="3360" w:right="140" w:hanging="275"/>
        <w:spacing w:after="0" w:line="342" w:lineRule="auto"/>
        <w:tabs>
          <w:tab w:leader="none" w:pos="334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to report to the Supervisory Board on a regular basis as well as on certain important occasions;</w:t>
      </w:r>
    </w:p>
    <w:p>
      <w:pPr>
        <w:spacing w:after="0" w:line="29" w:lineRule="exact"/>
        <w:rPr>
          <w:rFonts w:ascii="Arial" w:cs="Arial" w:eastAsia="Arial" w:hAnsi="Arial"/>
          <w:sz w:val="16"/>
          <w:szCs w:val="16"/>
          <w:color w:val="auto"/>
        </w:rPr>
      </w:pPr>
    </w:p>
    <w:p>
      <w:pPr>
        <w:ind w:left="3340" w:hanging="255"/>
        <w:spacing w:after="0"/>
        <w:tabs>
          <w:tab w:leader="none" w:pos="334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to exercise reasonable care, skill and diligence;</w:t>
      </w:r>
    </w:p>
    <w:p>
      <w:pPr>
        <w:spacing w:after="0" w:line="153" w:lineRule="exact"/>
        <w:rPr>
          <w:rFonts w:ascii="Arial" w:cs="Arial" w:eastAsia="Arial" w:hAnsi="Arial"/>
          <w:sz w:val="16"/>
          <w:szCs w:val="16"/>
          <w:color w:val="auto"/>
        </w:rPr>
      </w:pPr>
    </w:p>
    <w:p>
      <w:pPr>
        <w:ind w:left="3340" w:hanging="255"/>
        <w:spacing w:after="0"/>
        <w:tabs>
          <w:tab w:leader="none" w:pos="3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to maintain a proper accounting system;</w:t>
      </w:r>
    </w:p>
    <w:p>
      <w:pPr>
        <w:spacing w:after="0" w:line="130" w:lineRule="exact"/>
        <w:rPr>
          <w:rFonts w:ascii="Arial" w:cs="Arial" w:eastAsia="Arial" w:hAnsi="Arial"/>
          <w:sz w:val="18"/>
          <w:szCs w:val="18"/>
          <w:color w:val="auto"/>
        </w:rPr>
      </w:pPr>
    </w:p>
    <w:p>
      <w:pPr>
        <w:ind w:left="3360" w:right="80" w:hanging="275"/>
        <w:spacing w:after="0" w:line="264" w:lineRule="auto"/>
        <w:tabs>
          <w:tab w:leader="none" w:pos="334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to not compete, directly or indirectly, with the company without permission by the supervisory board; and</w:t>
      </w:r>
    </w:p>
    <w:p>
      <w:pPr>
        <w:spacing w:after="0" w:line="86" w:lineRule="exact"/>
        <w:rPr>
          <w:rFonts w:ascii="Arial" w:cs="Arial" w:eastAsia="Arial" w:hAnsi="Arial"/>
          <w:sz w:val="18"/>
          <w:szCs w:val="18"/>
          <w:color w:val="auto"/>
        </w:rPr>
      </w:pPr>
    </w:p>
    <w:p>
      <w:pPr>
        <w:ind w:left="3360" w:right="60" w:hanging="275"/>
        <w:spacing w:after="0" w:line="277" w:lineRule="auto"/>
        <w:tabs>
          <w:tab w:leader="none" w:pos="334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to secure that no further transactions are made in case of insolvency.</w:t>
      </w:r>
    </w:p>
    <w:p>
      <w:pPr>
        <w:spacing w:after="0" w:line="197"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Statutory and fiduciary duties of members of the</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Supervisory Board to the company include, among others:</w:t>
      </w:r>
    </w:p>
    <w:p>
      <w:pPr>
        <w:spacing w:after="0" w:line="139" w:lineRule="exact"/>
        <w:rPr>
          <w:sz w:val="20"/>
          <w:szCs w:val="20"/>
          <w:color w:val="auto"/>
        </w:rPr>
      </w:pPr>
    </w:p>
    <w:p>
      <w:pPr>
        <w:ind w:left="3360" w:right="40" w:hanging="275"/>
        <w:spacing w:after="0" w:line="277" w:lineRule="auto"/>
        <w:tabs>
          <w:tab w:leader="none" w:pos="334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effectively supervise the Management Board’s handling of the company’s affairs;</w:t>
      </w:r>
    </w:p>
    <w:p>
      <w:pPr>
        <w:spacing w:after="0" w:line="75" w:lineRule="exact"/>
        <w:rPr>
          <w:rFonts w:ascii="Arial" w:cs="Arial" w:eastAsia="Arial" w:hAnsi="Arial"/>
          <w:sz w:val="18"/>
          <w:szCs w:val="18"/>
          <w:color w:val="auto"/>
        </w:rPr>
      </w:pPr>
    </w:p>
    <w:p>
      <w:pPr>
        <w:ind w:left="3360" w:right="60" w:hanging="275"/>
        <w:spacing w:after="0" w:line="259" w:lineRule="auto"/>
        <w:tabs>
          <w:tab w:leader="none" w:pos="334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evaluate and issue a resolution on certain transactions which can only be conducted by the Management Board after approval of the Supervisory Board;</w:t>
      </w:r>
    </w:p>
    <w:p>
      <w:pPr>
        <w:spacing w:after="0" w:line="92" w:lineRule="exact"/>
        <w:rPr>
          <w:rFonts w:ascii="Arial" w:cs="Arial" w:eastAsia="Arial" w:hAnsi="Arial"/>
          <w:sz w:val="18"/>
          <w:szCs w:val="18"/>
          <w:color w:val="auto"/>
        </w:rPr>
      </w:pPr>
    </w:p>
    <w:p>
      <w:pPr>
        <w:ind w:left="3340" w:hanging="255"/>
        <w:spacing w:after="0"/>
        <w:tabs>
          <w:tab w:leader="none" w:pos="334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to approve the company’s financial statements;</w:t>
      </w:r>
    </w:p>
    <w:p>
      <w:pPr>
        <w:spacing w:after="0" w:line="142" w:lineRule="exact"/>
        <w:rPr>
          <w:rFonts w:ascii="Arial" w:cs="Arial" w:eastAsia="Arial" w:hAnsi="Arial"/>
          <w:sz w:val="17"/>
          <w:szCs w:val="17"/>
          <w:color w:val="auto"/>
        </w:rPr>
      </w:pPr>
    </w:p>
    <w:p>
      <w:pPr>
        <w:ind w:left="3360" w:hanging="275"/>
        <w:spacing w:after="0" w:line="259" w:lineRule="auto"/>
        <w:tabs>
          <w:tab w:leader="none" w:pos="334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appoint the Management Board members and to represent the company in transactions between the company and members of the Management Board; and</w:t>
      </w:r>
    </w:p>
    <w:p>
      <w:pPr>
        <w:spacing w:after="0" w:line="92" w:lineRule="exact"/>
        <w:rPr>
          <w:rFonts w:ascii="Arial" w:cs="Arial" w:eastAsia="Arial" w:hAnsi="Arial"/>
          <w:sz w:val="18"/>
          <w:szCs w:val="18"/>
          <w:color w:val="auto"/>
        </w:rPr>
      </w:pPr>
    </w:p>
    <w:p>
      <w:pPr>
        <w:ind w:left="3360" w:right="120" w:hanging="275"/>
        <w:spacing w:after="0" w:line="264" w:lineRule="auto"/>
        <w:tabs>
          <w:tab w:leader="none" w:pos="334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approve service contracts between individual members of the Supervisory Board and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9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710" w:lineRule="exact"/>
        <w:rPr>
          <w:sz w:val="20"/>
          <w:szCs w:val="20"/>
          <w:color w:val="auto"/>
        </w:rPr>
      </w:pPr>
    </w:p>
    <w:p>
      <w:pPr>
        <w:sectPr>
          <w:pgSz w:w="11900" w:h="16838" w:orient="portrait"/>
          <w:cols w:equalWidth="0" w:num="2">
            <w:col w:w="6900" w:space="240"/>
            <w:col w:w="4080"/>
          </w:cols>
          <w:pgMar w:left="240" w:top="460" w:right="439" w:bottom="1440" w:gutter="0" w:footer="0" w:header="0"/>
        </w:sectPr>
      </w:pPr>
    </w:p>
    <w:p>
      <w:pPr>
        <w:ind w:left="200"/>
        <w:spacing w:after="0"/>
        <w:tabs>
          <w:tab w:leader="none" w:pos="2620" w:val="left"/>
        </w:tabs>
        <w:rPr>
          <w:sz w:val="20"/>
          <w:szCs w:val="20"/>
          <w:color w:val="auto"/>
        </w:rPr>
      </w:pPr>
      <w:r>
        <w:rPr>
          <w:rFonts w:ascii="Arial" w:cs="Arial" w:eastAsia="Arial" w:hAnsi="Arial"/>
          <w:sz w:val="18"/>
          <w:szCs w:val="18"/>
          <w:color w:val="auto"/>
        </w:rPr>
        <w:t>Stockholder Actions</w:t>
      </w:r>
      <w:r>
        <w:rPr>
          <w:sz w:val="20"/>
          <w:szCs w:val="20"/>
          <w:color w:val="auto"/>
        </w:rPr>
        <w:tab/>
      </w:r>
      <w:r>
        <w:rPr>
          <w:rFonts w:ascii="Arial" w:cs="Arial" w:eastAsia="Arial" w:hAnsi="Arial"/>
          <w:sz w:val="16"/>
          <w:szCs w:val="16"/>
          <w:color w:val="auto"/>
        </w:rPr>
        <w:t>Under German law, generally, the company, rather than its</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shareholders, is</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Under Delaware law, a stockholder may initiate a derivative action to enforce a</w:t>
      </w:r>
    </w:p>
    <w:p>
      <w:pPr>
        <w:sectPr>
          <w:pgSz w:w="11900" w:h="16838" w:orient="portrait"/>
          <w:cols w:equalWidth="0" w:num="2">
            <w:col w:w="6840" w:space="300"/>
            <w:col w:w="4080"/>
          </w:cols>
          <w:pgMar w:left="240" w:top="460" w:right="439" w:bottom="1440" w:gutter="0" w:footer="0" w:header="0"/>
          <w:type w:val="continuous"/>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European Union / 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15240</wp:posOffset>
            </wp:positionV>
            <wp:extent cx="27273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5" w:lineRule="exact"/>
        <w:rPr>
          <w:sz w:val="20"/>
          <w:szCs w:val="20"/>
          <w:color w:val="auto"/>
        </w:rPr>
      </w:pPr>
    </w:p>
    <w:p>
      <w:pPr>
        <w:ind w:left="2640" w:right="80"/>
        <w:spacing w:after="0" w:line="291" w:lineRule="auto"/>
        <w:rPr>
          <w:sz w:val="20"/>
          <w:szCs w:val="20"/>
          <w:color w:val="auto"/>
        </w:rPr>
      </w:pPr>
      <w:r>
        <w:rPr>
          <w:rFonts w:ascii="Arial" w:cs="Arial" w:eastAsia="Arial" w:hAnsi="Arial"/>
          <w:sz w:val="16"/>
          <w:szCs w:val="16"/>
          <w:color w:val="auto"/>
        </w:rPr>
        <w:t>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w:t>
      </w:r>
    </w:p>
    <w:p>
      <w:pPr>
        <w:spacing w:after="0" w:line="192" w:lineRule="exact"/>
        <w:rPr>
          <w:sz w:val="20"/>
          <w:szCs w:val="20"/>
          <w:color w:val="auto"/>
        </w:rPr>
      </w:pPr>
    </w:p>
    <w:p>
      <w:pPr>
        <w:ind w:left="2640"/>
        <w:spacing w:after="0" w:line="279" w:lineRule="auto"/>
        <w:rPr>
          <w:sz w:val="20"/>
          <w:szCs w:val="20"/>
          <w:color w:val="auto"/>
        </w:rPr>
      </w:pPr>
      <w:r>
        <w:rPr>
          <w:rFonts w:ascii="Arial" w:cs="Arial" w:eastAsia="Arial" w:hAnsi="Arial"/>
          <w:sz w:val="17"/>
          <w:szCs w:val="17"/>
          <w:color w:val="auto"/>
        </w:rPr>
        <w:t>Additionally, pursuant to German case law, the Supervisory Board is obliged to pursue the company’s claims against the Management Board, unless the interest of the company keeps them from doing so.</w:t>
      </w:r>
    </w:p>
    <w:p>
      <w:pPr>
        <w:spacing w:after="0" w:line="198" w:lineRule="exact"/>
        <w:rPr>
          <w:sz w:val="20"/>
          <w:szCs w:val="20"/>
          <w:color w:val="auto"/>
        </w:rPr>
      </w:pPr>
    </w:p>
    <w:p>
      <w:pPr>
        <w:ind w:left="2640" w:right="20"/>
        <w:spacing w:after="0" w:line="291" w:lineRule="auto"/>
        <w:rPr>
          <w:sz w:val="20"/>
          <w:szCs w:val="20"/>
          <w:color w:val="auto"/>
        </w:rPr>
      </w:pPr>
      <w:r>
        <w:rPr>
          <w:rFonts w:ascii="Arial" w:cs="Arial" w:eastAsia="Arial" w:hAnsi="Arial"/>
          <w:sz w:val="16"/>
          <w:szCs w:val="16"/>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194" w:lineRule="exact"/>
        <w:rPr>
          <w:sz w:val="20"/>
          <w:szCs w:val="20"/>
          <w:color w:val="auto"/>
        </w:rPr>
      </w:pPr>
    </w:p>
    <w:p>
      <w:pPr>
        <w:ind w:left="2640" w:right="540"/>
        <w:spacing w:after="0" w:line="302" w:lineRule="auto"/>
        <w:rPr>
          <w:sz w:val="20"/>
          <w:szCs w:val="20"/>
          <w:color w:val="auto"/>
        </w:rPr>
      </w:pPr>
      <w:r>
        <w:rPr>
          <w:rFonts w:ascii="Arial" w:cs="Arial" w:eastAsia="Arial" w:hAnsi="Arial"/>
          <w:sz w:val="16"/>
          <w:szCs w:val="16"/>
          <w:color w:val="auto"/>
        </w:rPr>
        <w:t>If the company is unable to fulfill its third-party obligations, the company’s creditors may pursue the company’s damage claims against members of the Management Board for certain wrongdoings.</w:t>
      </w:r>
    </w:p>
    <w:p>
      <w:pPr>
        <w:spacing w:after="0" w:line="181" w:lineRule="exact"/>
        <w:rPr>
          <w:sz w:val="20"/>
          <w:szCs w:val="20"/>
          <w:color w:val="auto"/>
        </w:rPr>
      </w:pPr>
    </w:p>
    <w:p>
      <w:pPr>
        <w:ind w:left="2640" w:right="20"/>
        <w:spacing w:after="0" w:line="290" w:lineRule="auto"/>
        <w:rPr>
          <w:sz w:val="20"/>
          <w:szCs w:val="20"/>
          <w:color w:val="auto"/>
        </w:rPr>
      </w:pPr>
      <w:r>
        <w:rPr>
          <w:rFonts w:ascii="Arial" w:cs="Arial" w:eastAsia="Arial" w:hAnsi="Arial"/>
          <w:sz w:val="16"/>
          <w:szCs w:val="16"/>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15240</wp:posOffset>
            </wp:positionV>
            <wp:extent cx="259016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right of a corporation if the corporation fails to enforce the right itself. The complaint must:</w:t>
      </w:r>
    </w:p>
    <w:p>
      <w:pPr>
        <w:spacing w:after="0" w:line="77" w:lineRule="exact"/>
        <w:rPr>
          <w:sz w:val="20"/>
          <w:szCs w:val="20"/>
          <w:color w:val="auto"/>
        </w:rPr>
      </w:pPr>
    </w:p>
    <w:p>
      <w:pPr>
        <w:ind w:left="720" w:hanging="264"/>
        <w:spacing w:after="0" w:line="257" w:lineRule="auto"/>
        <w:tabs>
          <w:tab w:leader="none" w:pos="70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93" w:lineRule="exact"/>
        <w:rPr>
          <w:rFonts w:ascii="Arial" w:cs="Arial" w:eastAsia="Arial" w:hAnsi="Arial"/>
          <w:sz w:val="18"/>
          <w:szCs w:val="18"/>
          <w:color w:val="auto"/>
        </w:rPr>
      </w:pPr>
    </w:p>
    <w:p>
      <w:pPr>
        <w:ind w:left="720" w:right="20" w:hanging="264"/>
        <w:spacing w:after="0" w:line="273" w:lineRule="auto"/>
        <w:tabs>
          <w:tab w:leader="none" w:pos="70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20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pacing w:after="0" w:line="3483" w:lineRule="exact"/>
        <w:rPr>
          <w:sz w:val="20"/>
          <w:szCs w:val="20"/>
          <w:color w:val="auto"/>
        </w:rPr>
      </w:pPr>
    </w:p>
    <w:p>
      <w:pPr>
        <w:sectPr>
          <w:pgSz w:w="11900" w:h="16838" w:orient="portrait"/>
          <w:cols w:equalWidth="0" w:num="2">
            <w:col w:w="6920" w:space="220"/>
            <w:col w:w="4020"/>
          </w:cols>
          <w:pgMar w:left="240" w:top="459" w:right="499" w:bottom="1440" w:gutter="0" w:footer="0" w:header="0"/>
        </w:sectPr>
      </w:pP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applied to list the ADSs representing our ordinary shares on the Nasdaq Global Select Market under the symbol “BNTX.”</w:t>
      </w:r>
    </w:p>
    <w:p>
      <w:pPr>
        <w:spacing w:after="0" w:line="1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160"/>
          </w:cols>
          <w:pgMar w:left="240" w:top="459" w:right="499" w:bottom="1440" w:gutter="0" w:footer="0" w:header="0"/>
          <w:type w:val="continuous"/>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Bank of New York Mellon, as depositary, will register and deliver the American Depositary Shares, or the ADSs. Each ADS will</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represent one share (or a right to receive one share) deposited with The Bank of New York Mellon SA/NV as custodian for the depositary in Germany.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ADS will also represent any other securities, cash or other property which may be held by the depositary. The deposited shares together with 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securities, cash or other property held by the depositary are referred to as the deposited securities. The depositary’s office at which the ADSs will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 administered and its principal executive office are located at 240 Greenwich Street, New York, New York 10286.</w:t>
      </w:r>
    </w:p>
    <w:p>
      <w:pPr>
        <w:spacing w:after="0" w:line="21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European and German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71" w:lineRule="exact"/>
        <w:rPr>
          <w:sz w:val="20"/>
          <w:szCs w:val="20"/>
          <w:color w:val="auto"/>
        </w:rPr>
      </w:pPr>
    </w:p>
    <w:p>
      <w:pPr>
        <w:jc w:val="both"/>
        <w:ind w:left="200" w:right="480" w:firstLine="441"/>
        <w:spacing w:after="0" w:line="34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Those documents are filed as exhibits to the registration statement of which this prospectus forms a part.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will ADS holders receive dividends and other distributions on the shares?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Before making a distribution, any withholding taxes, or other governmental charges that must be paid will be deducted. See “Taxation” included elsewhere in this prospectus. The depositary will distribute only whole U.S. dollars and cents and will round fractional cents to the nearest whole cent.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the exchange rates fluctuate during a time when the depositary cannot convert the foreign currency, you may lose some of the value of the distribution.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00"/>
          </w:cols>
          <w:pgMar w:left="240" w:top="460"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88"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i w:val="1"/>
          <w:iCs w:val="1"/>
          <w:color w:val="auto"/>
        </w:rPr>
        <w:t xml:space="preserve">Rights to purchase additional shares. </w:t>
      </w:r>
      <w:r>
        <w:rPr>
          <w:rFonts w:ascii="Arial" w:cs="Arial" w:eastAsia="Arial" w:hAnsi="Arial"/>
          <w:sz w:val="18"/>
          <w:szCs w:val="18"/>
          <w:color w:val="auto"/>
        </w:rPr>
        <w:t>If we offer holders of our securities any rights to subscribe for additional shares or any other rights,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18"/>
          <w:szCs w:val="18"/>
          <w:b w:val="1"/>
          <w:bCs w:val="1"/>
          <w:color w:val="auto"/>
        </w:rPr>
        <w:t>In that case, you will receive no value for them.</w:t>
      </w:r>
      <w:r>
        <w:rPr>
          <w:rFonts w:ascii="Arial" w:cs="Arial" w:eastAsia="Arial" w:hAnsi="Arial"/>
          <w:sz w:val="18"/>
          <w:szCs w:val="18"/>
          <w:color w:val="auto"/>
        </w:rPr>
        <w:t xml:space="preserve">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auto"/>
        </w:rPr>
        <w:t xml:space="preserve">Other Distributions. </w:t>
      </w:r>
      <w:r>
        <w:rPr>
          <w:rFonts w:ascii="Arial" w:cs="Arial" w:eastAsia="Arial" w:hAnsi="Arial"/>
          <w:sz w:val="17"/>
          <w:szCs w:val="17"/>
          <w:color w:val="auto"/>
        </w:rPr>
        <w:t>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78" w:lineRule="exact"/>
        <w:rPr>
          <w:sz w:val="20"/>
          <w:szCs w:val="20"/>
          <w:color w:val="auto"/>
        </w:rPr>
      </w:pPr>
    </w:p>
    <w:p>
      <w:pPr>
        <w:jc w:val="both"/>
        <w:ind w:left="200" w:right="100" w:firstLine="441"/>
        <w:spacing w:after="0" w:line="279" w:lineRule="auto"/>
        <w:rPr>
          <w:sz w:val="20"/>
          <w:szCs w:val="20"/>
          <w:color w:val="auto"/>
        </w:rPr>
      </w:pPr>
      <w:r>
        <w:rPr>
          <w:rFonts w:ascii="Arial" w:cs="Arial" w:eastAsia="Arial" w:hAnsi="Arial"/>
          <w:sz w:val="17"/>
          <w:szCs w:val="17"/>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7"/>
          <w:szCs w:val="17"/>
          <w:b w:val="1"/>
          <w:bCs w:val="1"/>
          <w:color w:val="auto"/>
        </w:rPr>
        <w:t>This means that you may not receive the distributions we make on our shares</w:t>
      </w:r>
      <w:r>
        <w:rPr>
          <w:rFonts w:ascii="Arial" w:cs="Arial" w:eastAsia="Arial" w:hAnsi="Arial"/>
          <w:sz w:val="17"/>
          <w:szCs w:val="17"/>
          <w:color w:val="auto"/>
        </w:rPr>
        <w:t xml:space="preserve"> </w:t>
      </w:r>
      <w:r>
        <w:rPr>
          <w:rFonts w:ascii="Arial" w:cs="Arial" w:eastAsia="Arial" w:hAnsi="Arial"/>
          <w:sz w:val="17"/>
          <w:szCs w:val="17"/>
          <w:b w:val="1"/>
          <w:bCs w:val="1"/>
          <w:color w:val="auto"/>
        </w:rPr>
        <w:t>or any value for them if it is illegal or impractical for us to make them available to you.</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20"/>
          </w:cols>
          <w:pgMar w:left="240" w:top="460"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do ADS holders vote?</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State of New York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4"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7"/>
          <w:szCs w:val="17"/>
          <w:b w:val="1"/>
          <w:b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17"/>
          <w:szCs w:val="17"/>
          <w:color w:val="auto"/>
        </w:rPr>
        <w:t>In any event, the depositary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78" w:lineRule="exact"/>
        <w:rPr>
          <w:sz w:val="20"/>
          <w:szCs w:val="20"/>
          <w:color w:val="auto"/>
        </w:rPr>
      </w:pPr>
    </w:p>
    <w:p>
      <w:pPr>
        <w:ind w:left="1180" w:hanging="436"/>
        <w:spacing w:after="0"/>
        <w:tabs>
          <w:tab w:leader="none" w:pos="1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we wish the depositary to vote uninstructed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we reasonably do not know of any substantial shareholder opposition to a particular question;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particular question is not materially adverse to the interests of shareholders,</w:t>
      </w:r>
    </w:p>
    <w:p>
      <w:pPr>
        <w:spacing w:after="0" w:line="2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depositary will consider you to have authorized and directed it to vote the number of deposited securities represented by your ADSs in favor of any resolution that we proposed in the invitation to the shareholders’ meeting.</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w:t>
      </w:r>
    </w:p>
    <w:p>
      <w:pPr>
        <w:ind w:left="200" w:right="780"/>
        <w:spacing w:after="0" w:line="261" w:lineRule="auto"/>
        <w:rPr>
          <w:sz w:val="20"/>
          <w:szCs w:val="20"/>
          <w:color w:val="auto"/>
        </w:rPr>
      </w:pPr>
      <w:r>
        <w:rPr>
          <w:rFonts w:ascii="Arial" w:cs="Arial" w:eastAsia="Arial" w:hAnsi="Arial"/>
          <w:sz w:val="18"/>
          <w:szCs w:val="18"/>
          <w:b w:val="1"/>
          <w:bCs w:val="1"/>
          <w:color w:val="auto"/>
        </w:rPr>
        <w:t>This means that you may not be able to exercise voting rights and there may be nothing you can do if your shares are not voted as you requested.</w:t>
      </w:r>
    </w:p>
    <w:p>
      <w:pPr>
        <w:spacing w:after="0" w:line="18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220"/>
          </w:cols>
          <w:pgMar w:left="240" w:top="460"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256"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i w:val="1"/>
          <w:iCs w:val="1"/>
          <w:color w:val="auto"/>
        </w:rPr>
        <w:t>Persons depositing or withdrawing</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i w:val="1"/>
          <w:iCs w:val="1"/>
          <w:color w:val="auto"/>
        </w:rPr>
        <w:t>shares or ADS holders must pay</w:t>
      </w:r>
      <w:r>
        <w:rPr>
          <w:rFonts w:ascii="Arial" w:cs="Arial" w:eastAsia="Arial" w:hAnsi="Arial"/>
          <w:sz w:val="18"/>
          <w:szCs w:val="18"/>
          <w:color w:val="auto"/>
        </w:rPr>
        <w: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w:t>
      </w:r>
    </w:p>
    <w:p>
      <w:pPr>
        <w:spacing w:after="0" w:line="266" w:lineRule="exact"/>
        <w:rPr>
          <w:sz w:val="20"/>
          <w:szCs w:val="20"/>
          <w:color w:val="auto"/>
        </w:rPr>
      </w:pPr>
    </w:p>
    <w:p>
      <w:pPr>
        <w:ind w:left="200"/>
        <w:spacing w:after="0" w:line="381" w:lineRule="auto"/>
        <w:rPr>
          <w:sz w:val="20"/>
          <w:szCs w:val="20"/>
          <w:color w:val="auto"/>
        </w:rPr>
      </w:pPr>
      <w:r>
        <w:rPr>
          <w:rFonts w:ascii="Arial" w:cs="Arial" w:eastAsia="Arial" w:hAnsi="Arial"/>
          <w:sz w:val="15"/>
          <w:szCs w:val="15"/>
          <w:color w:val="auto"/>
        </w:rPr>
        <w:t>A fee equivalent to the fee that would be payable if securities distributed to you had been shares and the shares had been deposited for issuance of ADSs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Registration or transfer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For</w:t>
      </w:r>
      <w:r>
        <w:rPr>
          <w:rFonts w:ascii="Arial" w:cs="Arial" w:eastAsia="Arial" w:hAnsi="Arial"/>
          <w:sz w:val="18"/>
          <w:szCs w:val="18"/>
          <w:color w:val="auto"/>
        </w:rPr>
        <w: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2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Distribution of securities distributed to holders of deposited securities (including rights) that are distributed by the depositary to ADS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200" w:lineRule="exact"/>
        <w:rPr>
          <w:sz w:val="20"/>
          <w:szCs w:val="20"/>
          <w:color w:val="auto"/>
        </w:rPr>
      </w:pPr>
    </w:p>
    <w:p>
      <w:pPr>
        <w:sectPr>
          <w:pgSz w:w="11900" w:h="16838" w:orient="portrait"/>
          <w:cols w:equalWidth="0" w:num="2">
            <w:col w:w="5720" w:space="340"/>
            <w:col w:w="5120"/>
          </w:cols>
          <w:pgMar w:left="240" w:top="459" w:right="479" w:bottom="1440" w:gutter="0" w:footer="0" w:header="0"/>
        </w:sectPr>
      </w:pPr>
    </w:p>
    <w:p>
      <w:pPr>
        <w:spacing w:after="0" w:line="31"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color w:val="auto"/>
        </w:rPr>
        <w:t>Expenses of the depositary</w:t>
      </w:r>
      <w:r>
        <w:rPr>
          <w:sz w:val="20"/>
          <w:szCs w:val="20"/>
          <w:color w:val="auto"/>
        </w:rPr>
        <w:tab/>
      </w:r>
      <w:r>
        <w:rPr>
          <w:rFonts w:ascii="Arial" w:cs="Arial" w:eastAsia="Arial" w:hAnsi="Arial"/>
          <w:sz w:val="16"/>
          <w:szCs w:val="16"/>
          <w:color w:val="auto"/>
        </w:rPr>
        <w:t>Cable and facsimile transmissions (when expressly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provided in the deposit agreement)</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Converting foreign currency to U.S. dollars</w:t>
      </w:r>
    </w:p>
    <w:p>
      <w:pPr>
        <w:spacing w:after="0" w:line="266" w:lineRule="exact"/>
        <w:rPr>
          <w:sz w:val="20"/>
          <w:szCs w:val="20"/>
          <w:color w:val="auto"/>
        </w:rPr>
      </w:pPr>
    </w:p>
    <w:p>
      <w:pPr>
        <w:ind w:left="200" w:right="4180"/>
        <w:spacing w:after="0" w:line="264" w:lineRule="auto"/>
        <w:rPr>
          <w:sz w:val="20"/>
          <w:szCs w:val="20"/>
          <w:color w:val="auto"/>
        </w:rPr>
      </w:pPr>
      <w:r>
        <w:rPr>
          <w:rFonts w:ascii="Arial" w:cs="Arial" w:eastAsia="Arial" w:hAnsi="Arial"/>
          <w:sz w:val="18"/>
          <w:szCs w:val="18"/>
          <w:color w:val="auto"/>
        </w:rPr>
        <w:t>Taxes and other governmental charges the depositary or the custodian has to As necessary pay on any ADSs or shares underlying ADSs, such as stock transfer taxes, stamp duty or withholding taxes</w:t>
      </w:r>
    </w:p>
    <w:p>
      <w:pPr>
        <w:spacing w:after="0" w:line="222"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8"/>
          <w:szCs w:val="18"/>
          <w:color w:val="auto"/>
        </w:rPr>
        <w:t>Any charges incurred by the depositary or its agents for servicing the</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deposited securities</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7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depositary may convert currency itself or through any of its affiliates and, in those cases, acts as principal for its own account and not as agent, advisor, broker or fiduciary on behalf of any other person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180"/>
          </w:cols>
          <w:pgMar w:left="240" w:top="459" w:right="479" w:bottom="1440" w:gutter="0" w:footer="0" w:header="0"/>
          <w:type w:val="continuous"/>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21"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5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8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200"/>
          </w:cols>
          <w:pgMar w:left="240" w:top="460"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 xml:space="preserve">a substantial right of ADS holders, it will not become effective for outstanding ADSs until 30 days after the depositary notifies ADS holders of the amendment. </w:t>
      </w:r>
      <w:r>
        <w:rPr>
          <w:rFonts w:ascii="Arial" w:cs="Arial" w:eastAsia="Arial" w:hAnsi="Arial"/>
          <w:sz w:val="18"/>
          <w:szCs w:val="18"/>
          <w:b w:val="1"/>
          <w:bCs w:val="1"/>
          <w:color w:val="auto"/>
        </w:rPr>
        <w:t>At the time an amendment becomes effective, you are considered, by continuing to hold your ADSs, to agree to the amendment and</w:t>
      </w:r>
      <w:r>
        <w:rPr>
          <w:rFonts w:ascii="Arial" w:cs="Arial" w:eastAsia="Arial" w:hAnsi="Arial"/>
          <w:sz w:val="18"/>
          <w:szCs w:val="18"/>
          <w:color w:val="auto"/>
        </w:rPr>
        <w:t xml:space="preserve"> </w:t>
      </w:r>
      <w:r>
        <w:rPr>
          <w:rFonts w:ascii="Arial" w:cs="Arial" w:eastAsia="Arial" w:hAnsi="Arial"/>
          <w:sz w:val="18"/>
          <w:szCs w:val="18"/>
          <w:b w:val="1"/>
          <w:bCs w:val="1"/>
          <w:color w:val="auto"/>
        </w:rPr>
        <w:t>to be bound by the ADRs and the deposit agreement as amended.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76" w:lineRule="exact"/>
        <w:rPr>
          <w:sz w:val="20"/>
          <w:szCs w:val="20"/>
          <w:color w:val="auto"/>
        </w:rPr>
      </w:pPr>
    </w:p>
    <w:p>
      <w:pPr>
        <w:ind w:left="1180" w:right="460" w:hanging="436"/>
        <w:spacing w:after="0" w:line="277" w:lineRule="auto"/>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60 days have passed since the depositary told us it wants to resign but a successor depositary has not been appointed and accepted its appointment;</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75"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we delist our ordinary shares from an exchange outside the United States on which they were listed and do not list the shares on another exchange outside the United States;</w:t>
      </w:r>
    </w:p>
    <w:p>
      <w:pPr>
        <w:spacing w:after="0" w:line="75"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there are no deposited securities underlying the ADSs or the underlying deposited securities have become apparently worthless; or</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76" w:lineRule="exact"/>
        <w:rPr>
          <w:sz w:val="20"/>
          <w:szCs w:val="20"/>
          <w:color w:val="auto"/>
        </w:rPr>
      </w:pPr>
    </w:p>
    <w:p>
      <w:pPr>
        <w:ind w:left="1180" w:right="20" w:hanging="436"/>
        <w:spacing w:after="0" w:line="277" w:lineRule="auto"/>
        <w:tabs>
          <w:tab w:leader="none" w:pos="11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00"/>
          </w:cols>
          <w:pgMar w:left="24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hanging="436"/>
        <w:spacing w:after="0" w:line="277" w:lineRule="auto"/>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control from performing our or its obligations under the deposit agreement;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30"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86"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30" w:lineRule="exact"/>
        <w:rPr>
          <w:rFonts w:ascii="Arial" w:cs="Arial" w:eastAsia="Arial" w:hAnsi="Arial"/>
          <w:sz w:val="18"/>
          <w:szCs w:val="18"/>
          <w:color w:val="auto"/>
        </w:rPr>
      </w:pPr>
    </w:p>
    <w:p>
      <w:pPr>
        <w:ind w:left="1180" w:right="60" w:hanging="436"/>
        <w:spacing w:after="0" w:line="259" w:lineRule="auto"/>
        <w:tabs>
          <w:tab w:leader="none" w:pos="11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76" w:lineRule="exact"/>
        <w:rPr>
          <w:sz w:val="20"/>
          <w:szCs w:val="20"/>
          <w:color w:val="auto"/>
        </w:rPr>
      </w:pPr>
    </w:p>
    <w:p>
      <w:pPr>
        <w:ind w:left="1180" w:right="380" w:hanging="436"/>
        <w:spacing w:after="0" w:line="277" w:lineRule="auto"/>
        <w:tabs>
          <w:tab w:leader="none" w:pos="1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31" w:lineRule="exact"/>
        <w:rPr>
          <w:sz w:val="20"/>
          <w:szCs w:val="20"/>
          <w:color w:val="auto"/>
        </w:rPr>
      </w:pPr>
    </w:p>
    <w:p>
      <w:pPr>
        <w:ind w:left="1180" w:right="160" w:hanging="436"/>
        <w:spacing w:after="0" w:line="308" w:lineRule="auto"/>
        <w:tabs>
          <w:tab w:leader="none" w:pos="118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220"/>
          </w:cols>
          <w:pgMar w:left="24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and the rules and regulations promulgated thereunder.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20"/>
          </w:cols>
          <w:pgMar w:left="24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 AND ADS</w:t>
      </w:r>
      <w:r>
        <w:rPr>
          <w:rFonts w:ascii="Arial" w:cs="Arial" w:eastAsia="Arial" w:hAnsi="Arial"/>
          <w:sz w:val="15"/>
          <w:szCs w:val="15"/>
          <w:b w:val="1"/>
          <w:bCs w:val="1"/>
          <w:color w:val="auto"/>
        </w:rPr>
        <w:t>S</w:t>
      </w:r>
      <w:r>
        <w:rPr>
          <w:rFonts w:ascii="Arial" w:cs="Arial" w:eastAsia="Arial" w:hAnsi="Arial"/>
          <w:sz w:val="18"/>
          <w:szCs w:val="18"/>
          <w:b w:val="1"/>
          <w:bCs w:val="1"/>
          <w:color w:val="auto"/>
        </w:rPr>
        <w:t xml:space="preserve"> ELIGIBLE FOR FUTURE SALE</w:t>
      </w:r>
    </w:p>
    <w:p>
      <w:pPr>
        <w:spacing w:after="0" w:line="229"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Prior to this offering, there has been no market for our ordinary shares or ADSs. Future sales of substantial amounts of our ordinary shares or ADSs in the public market, or the perception that such sales may occur, could adversely affect prevailing market prices of our ordinary shares or ADSs.</w:t>
      </w:r>
    </w:p>
    <w:p>
      <w:pPr>
        <w:spacing w:after="0" w:line="124"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Based on the 212,748,588 ordinary shares that were outstanding on June 30, 2019, upon the closing of this offering, 226,262,336 ordinary shares, and 10,000,000 ADSs representing 10,000,000 of those ordinary shares, will be outstanding, assuming no exercise of the underwriters’ option to purchase additional ADSs, and including (x) 475,074 ordinary shares issued after June 30, 2019 in connection with our Series B private placement and</w:t>
      </w:r>
    </w:p>
    <w:p>
      <w:pPr>
        <w:ind w:left="200" w:right="20" w:firstLine="4"/>
        <w:spacing w:after="0" w:line="268" w:lineRule="auto"/>
        <w:tabs>
          <w:tab w:leader="none" w:pos="455" w:val="left"/>
        </w:tabs>
        <w:numPr>
          <w:ilvl w:val="0"/>
          <w:numId w:val="281"/>
        </w:numPr>
        <w:rPr>
          <w:rFonts w:ascii="Arial" w:cs="Arial" w:eastAsia="Arial" w:hAnsi="Arial"/>
          <w:sz w:val="17"/>
          <w:szCs w:val="17"/>
          <w:color w:val="auto"/>
        </w:rPr>
      </w:pPr>
      <w:r>
        <w:rPr>
          <w:rFonts w:ascii="Arial" w:cs="Arial" w:eastAsia="Arial" w:hAnsi="Arial"/>
          <w:sz w:val="17"/>
          <w:szCs w:val="17"/>
          <w:color w:val="auto"/>
        </w:rPr>
        <w:t>3,038,674 ordinary shares issued prior to the completion of this offering pursuant to an investment by the Bill and Melinda Gates Foundation. The 10,000,000 ADSs sold in this offering will be freely tradable without restriction or further registration under the Securities Act of 1933, as amended, or the Securities Act, except for any ADSs purchased by our “affiliates,” as that term is defined in Rule 144 under the Securities Act, or Rule 144, whose sales would be subject to the Rule 144 resale restrictions described below. The remaining 216,262,336 ordinary shares will be held by our existing shareholders and will be deemed to be “restricted securities” under Rule 144, and we expect that substantially all of these restricted securities will be subject to the 180-day lock-up period under the lock-up agreements as described below. These restricted securities may only be sold in the public market upon release or waiver of any applicable lock-up agreements and only if registered or pursuant to an exemption from registration, such as Rule 144 or Rule 701 under the Securities Act, or Rule 701.</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general, under Rule 144, beginning 90 days after the date of this prospectus, a person who is not an affiliate of ours and has held their ordinary shares for at least six months, including the holding period of any prior owner other than one of our affiliates, may sell those shares without restriction, subject to the availability of current public information about us. In addition, under Rule 144, any person who is not an affiliate of ours and has not been an affiliate of ours at any time during the preceding three months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Beginning 90 days after the date of this prospectus, a person who is an affiliate of ours or who was an affiliate of ours at any time during the preceding three months and who has beneficially owned restricted securities for at least six months, including the holding period of any prior owner other than one of our affiliates, is entitled to sell within any three-month period only a number of securities that does not exceed the greater of either of:</w:t>
      </w:r>
    </w:p>
    <w:p>
      <w:pPr>
        <w:spacing w:after="0" w:line="52" w:lineRule="exact"/>
        <w:rPr>
          <w:sz w:val="20"/>
          <w:szCs w:val="20"/>
          <w:color w:val="auto"/>
        </w:rPr>
      </w:pPr>
    </w:p>
    <w:p>
      <w:pPr>
        <w:ind w:left="1180" w:right="20" w:hanging="436"/>
        <w:spacing w:after="0" w:line="264" w:lineRule="auto"/>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1% of the number of our ordinary shares then outstanding, including ordinary shares represented by ADSs, which will equal approximately 2,262,623 ordinary shares immediately after this offering, assuming no exercise of the underwriters’ option to purchase additional ADSs; and</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average weekly trading volume of the ADSs on the Nasdaq Global Select Market during the four calendar weeks preceding the filing of a notice on Form 144 with respect to the sale.</w:t>
      </w:r>
    </w:p>
    <w:p>
      <w:pPr>
        <w:spacing w:after="0" w:line="170"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Such sales both by affiliates and by non-affiliates must also comply with the manner-of-sale, current public information and notice provisions of Rule 144, to the extent applicable. Rule 144 also requires that affiliates relying on Rule 144 to sell securities that are not restricted securities must nonetheless comply with the same restrictions applicable to restricted securities, other than the holding period requirement.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Regulation S under the Securities Act provides that ordinary shares or ADSs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or ADSs may be sold outside the United States without registration in the United States being required.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20"/>
          </w:cols>
          <w:pgMar w:left="24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general, under Rule 701, any of our employees, board members, executive management, consultants or advisors who purchased ordinary shares from us in connection with a compensatory share or option plan or other written agreement before the closing of this offering is entitled to resell such shares.</w:t>
      </w:r>
    </w:p>
    <w:p>
      <w:pPr>
        <w:spacing w:after="0" w:line="181"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Securities Exchange Act of 1934, as amended, along with the shares acquired upon exercise of such options, including exercises after the date of this prospectus. Securities issued in reliance on Rule 701 are restricted securities and, subject to the lock-up restrictions described below, may be sold beginning 90 days after the date of this prospectus in reliance on Rule 144 by:</w:t>
      </w:r>
    </w:p>
    <w:p>
      <w:pPr>
        <w:spacing w:after="0" w:line="77" w:lineRule="exact"/>
        <w:rPr>
          <w:sz w:val="20"/>
          <w:szCs w:val="20"/>
          <w:color w:val="auto"/>
        </w:rPr>
      </w:pPr>
    </w:p>
    <w:p>
      <w:pPr>
        <w:ind w:left="1180" w:hanging="436"/>
        <w:spacing w:after="0"/>
        <w:tabs>
          <w:tab w:leader="none" w:pos="1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persons other than affiliates, without restriction, subject only to the manner-of-sale provisions of Rule 144; and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affiliates, subject to the manner-of-sale, current public information and filing requirements of Rule 144, in each case, without compliance with the six-month holding period requirement of Rule 144.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auto"/>
        </w:rPr>
        <w:t>For a description of the lock-up arrangements that we, members of our Supervisory Board and Management Board and substantially all of our shareholders have entered into in connection with this offering, see “Underwriting.”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 and Form S-8 Registration Statement</w:t>
      </w:r>
    </w:p>
    <w:p>
      <w:pPr>
        <w:spacing w:after="0" w:line="121"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As of June 30, 2019, options to purchase a total of 11,882,124 ordinary shares were issued and outstanding. Of the total number of issued and outstanding options, 2,101,842 will be vested upon the closing of this offering. All of our ordinary shares issuable under these options are subject to contractual lock-up agreements with us or the underwriters.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Following the completion of this offering, we intend to file a registration statement on Form S-8 under the Securities Act to register up to 21,874,806 ordinary shares, in the aggregate, issued or reserved for issuance under the ESOP. The registration statement on Form S-8 will become effective automatically upon filing. Ordinary shares issued upon exercise of a share option and registered pursuant to the Form S-8 registration statement will, subject to vesting provisions and Rule 144 volume limitations applicable to our affiliates, be available for sale in the open market immediately unless they are subject to the 180-day lock-up period.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220"/>
          </w:cols>
          <w:pgMar w:left="240" w:top="460"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EXCHANGE CONTROLS AND LIMITATIONS AFFECTING SHAREHOLDERS</w:t>
      </w:r>
    </w:p>
    <w:p>
      <w:pPr>
        <w:spacing w:after="0" w:line="121"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There are currently no legal restrictions in the Federal Republic of Germany on international capital movements and foreign exchange transactions, except in limited embargo circumstances (</w:t>
      </w:r>
      <w:r>
        <w:rPr>
          <w:rFonts w:ascii="Arial" w:cs="Arial" w:eastAsia="Arial" w:hAnsi="Arial"/>
          <w:sz w:val="16"/>
          <w:szCs w:val="16"/>
          <w:i w:val="1"/>
          <w:iCs w:val="1"/>
          <w:color w:val="auto"/>
        </w:rPr>
        <w:t>Teilembargo</w:t>
      </w:r>
      <w:r>
        <w:rPr>
          <w:rFonts w:ascii="Arial" w:cs="Arial" w:eastAsia="Arial" w:hAnsi="Arial"/>
          <w:sz w:val="16"/>
          <w:szCs w:val="16"/>
          <w:color w:val="auto"/>
        </w:rPr>
        <w:t>) relating to certain areas, entities or persons as a result of applicable resolutions adopted by the United Nations and the European Union. Restrictions currently exist with respect to, among others, Belarus, Congo, Egypt, Eritrea, Guinea, Guinea-Bissau, Iran, Iraq, Lebanon, Libya, North Korea, Somalia, South Sudan, Sudan, Syria, Tunisia and Zimbabwe.</w:t>
      </w:r>
    </w:p>
    <w:p>
      <w:pPr>
        <w:spacing w:after="0" w:line="15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For statistical purposes, there are, however, limited notification requirements regarding transactions involving cross-border monetary transfers. With some exceptions, every corporation or individual residing in the Federal Republic of Germany must report to the German Central Bank (</w:t>
      </w:r>
      <w:r>
        <w:rPr>
          <w:rFonts w:ascii="Arial" w:cs="Arial" w:eastAsia="Arial" w:hAnsi="Arial"/>
          <w:sz w:val="16"/>
          <w:szCs w:val="16"/>
          <w:i w:val="1"/>
          <w:iCs w:val="1"/>
          <w:color w:val="auto"/>
        </w:rPr>
        <w:t>Deutsche</w:t>
      </w:r>
      <w:r>
        <w:rPr>
          <w:rFonts w:ascii="Arial" w:cs="Arial" w:eastAsia="Arial" w:hAnsi="Arial"/>
          <w:sz w:val="16"/>
          <w:szCs w:val="16"/>
          <w:color w:val="auto"/>
        </w:rPr>
        <w:t xml:space="preserve"> </w:t>
      </w:r>
      <w:r>
        <w:rPr>
          <w:rFonts w:ascii="Arial" w:cs="Arial" w:eastAsia="Arial" w:hAnsi="Arial"/>
          <w:sz w:val="16"/>
          <w:szCs w:val="16"/>
          <w:i w:val="1"/>
          <w:iCs w:val="1"/>
          <w:color w:val="auto"/>
        </w:rPr>
        <w:t>Bundesbank</w:t>
      </w:r>
      <w:r>
        <w:rPr>
          <w:rFonts w:ascii="Arial" w:cs="Arial" w:eastAsia="Arial" w:hAnsi="Arial"/>
          <w:sz w:val="16"/>
          <w:szCs w:val="16"/>
          <w:color w:val="auto"/>
        </w:rPr>
        <w:t>) (i) any payment received from, or made to, a non-resident corporation or individual that exceeds €12,500 (or the equivalent in a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120"/>
          </w:cols>
          <w:pgMar w:left="240" w:top="459" w:right="5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German Taxation</w:t>
      </w:r>
    </w:p>
    <w:p>
      <w:pPr>
        <w:spacing w:after="0" w:line="12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The following discussion addresses certain German tax consequences of acquiring, owning or disposing of the ADSs. With the exception of “— Taxation of Holders Tax Resident in Germany” below, which provides an overview of dividend taxation and of capital gains taxation with respect to holders that are residents of Germany, this discussion applies only to U.S. treaty beneficiaries (defined below) that acquire ADSs in the offering.</w:t>
      </w:r>
    </w:p>
    <w:p>
      <w:pPr>
        <w:spacing w:after="0" w:line="14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This discussion is based on domestic German tax laws, including, but not limited to, circulars issued by German tax authorities, which are not binding on the German courts, and the Treaty (defined below). It is based upon tax laws in effect at the time of filing of this prospectus. These laws are subject to change, possibly with retroactive effect. For example, certain member states of the European Union are considering introducing a financial transaction tax (</w:t>
      </w:r>
      <w:r>
        <w:rPr>
          <w:rFonts w:ascii="Arial" w:cs="Arial" w:eastAsia="Arial" w:hAnsi="Arial"/>
          <w:sz w:val="18"/>
          <w:szCs w:val="18"/>
          <w:i w:val="1"/>
          <w:iCs w:val="1"/>
          <w:color w:val="auto"/>
        </w:rPr>
        <w:t>Finanztransaktionssteuer</w:t>
      </w:r>
      <w:r>
        <w:rPr>
          <w:rFonts w:ascii="Arial" w:cs="Arial" w:eastAsia="Arial" w:hAnsi="Arial"/>
          <w:sz w:val="18"/>
          <w:szCs w:val="18"/>
          <w:color w:val="auto"/>
        </w:rPr>
        <w:t>) which, if and when introduced, may also be applicable on sales and/or transfer of ADSs. In addition, in Germany, for example, there are currently ongoing discussions on the raise of the top tax rate, which may also have an effect on the German tax consequences of acquiring, owning and disposing of the ADSs. There is no assurance that German tax authorities will not challenge one or more of the tax consequences described in this discussion.</w:t>
      </w:r>
    </w:p>
    <w:p>
      <w:pPr>
        <w:spacing w:after="0" w:line="18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81"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tax information presented in this prospectus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Arial" w:cs="Arial" w:eastAsia="Arial" w:hAnsi="Arial"/>
          <w:sz w:val="17"/>
          <w:szCs w:val="17"/>
          <w:i w:val="1"/>
          <w:iCs w:val="1"/>
          <w:color w:val="auto"/>
        </w:rPr>
        <w:t>Kapitalertragsteuer</w:t>
      </w:r>
      <w:r>
        <w:rPr>
          <w:rFonts w:ascii="Arial" w:cs="Arial" w:eastAsia="Arial" w:hAnsi="Arial"/>
          <w:sz w:val="17"/>
          <w:szCs w:val="17"/>
          <w:color w:val="auto"/>
        </w:rPr>
        <w:t>) withheld. Only an individual tax consultation can appropriately account for the particular tax situation of each investor.</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Based on the circular issued by the German Federal Ministry of Finance (</w:t>
      </w:r>
      <w:r>
        <w:rPr>
          <w:rFonts w:ascii="Arial" w:cs="Arial" w:eastAsia="Arial" w:hAnsi="Arial"/>
          <w:sz w:val="17"/>
          <w:szCs w:val="17"/>
          <w:i w:val="1"/>
          <w:iCs w:val="1"/>
          <w:color w:val="auto"/>
        </w:rPr>
        <w:t>BMF-Schreiben</w:t>
      </w:r>
      <w:r>
        <w:rPr>
          <w:rFonts w:ascii="Arial" w:cs="Arial" w:eastAsia="Arial" w:hAnsi="Arial"/>
          <w:sz w:val="17"/>
          <w:szCs w:val="17"/>
          <w:color w:val="auto"/>
        </w:rPr>
        <w:t>), dated May 24, 2013, reference number IV C 1-S2204/12/10003, as amended by the circular dated December 18, 2018 (reference number IV C 1 – S 2204/12/10003), in respect of the taxation of American Depositary Receipts, or ADRs, on domestic shares, or the ADR Tax Circular, for German tax purposes, the ADSs represent a beneficial ownership interest in the underlying shares of BioNTech and qualify as ADRs for the purpose of the ADR Tax Circular. If the ADSs qualify as ADRs under the ADR Tax Circular, dividends would accordingly be attributable to holders of the ADSs for German tax purposes, and not to the legal owner of the ordinary shares (</w:t>
      </w:r>
      <w:r>
        <w:rPr>
          <w:rFonts w:ascii="Arial" w:cs="Arial" w:eastAsia="Arial" w:hAnsi="Arial"/>
          <w:sz w:val="17"/>
          <w:szCs w:val="17"/>
          <w:i w:val="1"/>
          <w:iCs w:val="1"/>
          <w:color w:val="auto"/>
        </w:rPr>
        <w:t>i.e</w:t>
      </w:r>
      <w:r>
        <w:rPr>
          <w:rFonts w:ascii="Arial" w:cs="Arial" w:eastAsia="Arial" w:hAnsi="Arial"/>
          <w:sz w:val="17"/>
          <w:szCs w:val="17"/>
          <w:color w:val="auto"/>
        </w:rPr>
        <w:t>., the financial institution on behalf of which the ordinary shares are stored at a domestic depository for the ADS holders). Furthermore, holders of the ADSs should be treated as beneficial owners of the capital of BioNTech with respect to capital gains (see below in section “—German Taxation of Capital Gains of the U.S. Treaty Beneficiaries of the ADSs”). However, investors should note that circulars published by the German tax authorities (including the ADR Tax Circular) are not binding on German courts, including German tax courts, and it is unclear whether a German court would follow the ADR Tax Circular in determining the German tax treatment of the ADSs. For the purpose of this German tax section, it is assumed that the ADSs qualify as ADRs within the meaning of the ADR Tax Circular.</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Holders Not Tax Resident in Germany</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discussion describes the material German tax consequences for a holder that is a U.S. treaty beneficiary of acquiring, owning and disposing of the ADSs. For purposes of this discussion, a “U.S. treaty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180"/>
          </w:cols>
          <w:pgMar w:left="240" w:top="460"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beneficiary” is a resident of the United States for purposes of the Agreement between the Federal Republic of Germany and United States of America</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for the Avoidance of Double Taxation and the Prevention of Fiscal Evasion with respect to Taxes on Income and on Capital as of June 4, 2008</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Abkommen zwischen der Bundesrepublik Deutschland und den Vereinigten Staaten von Amerika zur Vermeidung der Doppelbesteuerung und zur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Verhinderung der Steuerverkürzung auf dem Gebiet der Steuern vom Einkommen und vom Vermögen und einiger anderer Steuern in der Fassung vom 4.</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Juni 2008</w:t>
      </w:r>
      <w:r>
        <w:rPr>
          <w:rFonts w:ascii="Arial" w:cs="Arial" w:eastAsia="Arial" w:hAnsi="Arial"/>
          <w:sz w:val="18"/>
          <w:szCs w:val="18"/>
          <w:color w:val="auto"/>
        </w:rPr>
        <w:t>), hereinafter referred to as the “Treaty,” who is fully eligible for benefits under the Treaty.</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holder will be a U.S. treaty beneficiary entitled to full Treaty benefits in respect of the ADSs if it is, inter alia:</w:t>
      </w:r>
    </w:p>
    <w:p>
      <w:pPr>
        <w:spacing w:after="0" w:line="131" w:lineRule="exact"/>
        <w:rPr>
          <w:sz w:val="20"/>
          <w:szCs w:val="20"/>
          <w:color w:val="auto"/>
        </w:rPr>
      </w:pPr>
    </w:p>
    <w:p>
      <w:pPr>
        <w:ind w:left="1180" w:hanging="436"/>
        <w:spacing w:after="0"/>
        <w:tabs>
          <w:tab w:leader="none" w:pos="1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beneficial owner of the ADSs (and the dividends paid with respect thereto);</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U.S. 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not subject to the limitation on benefits (</w:t>
      </w:r>
      <w:r>
        <w:rPr>
          <w:rFonts w:ascii="Arial" w:cs="Arial" w:eastAsia="Arial" w:hAnsi="Arial"/>
          <w:sz w:val="18"/>
          <w:szCs w:val="18"/>
          <w:i w:val="1"/>
          <w:iCs w:val="1"/>
          <w:color w:val="auto"/>
        </w:rPr>
        <w:t>i.e.</w:t>
      </w:r>
      <w:r>
        <w:rPr>
          <w:rFonts w:ascii="Arial" w:cs="Arial" w:eastAsia="Arial" w:hAnsi="Arial"/>
          <w:sz w:val="18"/>
          <w:szCs w:val="18"/>
          <w:color w:val="auto"/>
        </w:rPr>
        <w:t>, anti-treaty shopping) article of the Treaty that applies in limited circumstances.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Rules for the Taxation of Holders Not Tax Resident in Germany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Non-German resident holders of ADSs are subject to German taxation with respect to German source income (</w:t>
      </w:r>
      <w:r>
        <w:rPr>
          <w:rFonts w:ascii="Arial" w:cs="Arial" w:eastAsia="Arial" w:hAnsi="Arial"/>
          <w:sz w:val="18"/>
          <w:szCs w:val="18"/>
          <w:i w:val="1"/>
          <w:iCs w:val="1"/>
          <w:color w:val="auto"/>
        </w:rPr>
        <w:t>beschränkte Steuerpflicht</w:t>
      </w:r>
      <w:r>
        <w:rPr>
          <w:rFonts w:ascii="Arial" w:cs="Arial" w:eastAsia="Arial" w:hAnsi="Arial"/>
          <w:sz w:val="18"/>
          <w:szCs w:val="18"/>
          <w:color w:val="auto"/>
        </w:rPr>
        <w:t>). According to the ADR Tax Circular, income from the shares should be attributed to the holder of the ADSs for German tax purposes. As a consequence, income from the ADSs should be treated as German source income.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German Withholding Taxation of Dividends of the U.S. Treaty Beneficiaries of the ADSs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Generally, the full amount of a dividend distributed by BioNTech to a non-German resident holder which does not maintain a permanent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establishment or other taxable presence in Germany is subject to (final) German withholding tax at an aggregate rate of 26.375%. German withholding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tax is withheld and remitted to the German tax authorities by (i) the disbursing agent (</w:t>
      </w:r>
      <w:r>
        <w:rPr>
          <w:rFonts w:ascii="Arial" w:cs="Arial" w:eastAsia="Arial" w:hAnsi="Arial"/>
          <w:sz w:val="16"/>
          <w:szCs w:val="16"/>
          <w:i w:val="1"/>
          <w:iCs w:val="1"/>
          <w:color w:val="auto"/>
        </w:rPr>
        <w:t>i.e.</w:t>
      </w:r>
      <w:r>
        <w:rPr>
          <w:rFonts w:ascii="Arial" w:cs="Arial" w:eastAsia="Arial" w:hAnsi="Arial"/>
          <w:sz w:val="16"/>
          <w:szCs w:val="16"/>
          <w:color w:val="auto"/>
        </w:rPr>
        <w:t>, the German credit institution, financial services institution,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trading enterprise or securities trading bank (each as defined in the German Banking Act (</w:t>
      </w:r>
      <w:r>
        <w:rPr>
          <w:rFonts w:ascii="Arial" w:cs="Arial" w:eastAsia="Arial" w:hAnsi="Arial"/>
          <w:sz w:val="16"/>
          <w:szCs w:val="16"/>
          <w:i w:val="1"/>
          <w:iCs w:val="1"/>
          <w:color w:val="auto"/>
        </w:rPr>
        <w:t>Kreditwesengesetz</w:t>
      </w:r>
      <w:r>
        <w:rPr>
          <w:rFonts w:ascii="Arial" w:cs="Arial" w:eastAsia="Arial" w:hAnsi="Arial"/>
          <w:sz w:val="16"/>
          <w:szCs w:val="16"/>
          <w:color w:val="auto"/>
        </w:rPr>
        <w:t>) and in each case including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German branch of a foreign enterprise, but excluding a foreign branch of a German enterprise)) that holds or administers the underlying shares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custody and (a) disburses or credits the dividend income from the underlying shares, (b) disburses or credits the dividend income from the underlying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shares on delivery of the dividend coupons or (c) disburses such dividend income to a foreign agent; or (ii) the central securities depository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Wertpapiersammelbank</w:t>
      </w:r>
      <w:r>
        <w:rPr>
          <w:rFonts w:ascii="Arial" w:cs="Arial" w:eastAsia="Arial" w:hAnsi="Arial"/>
          <w:sz w:val="16"/>
          <w:szCs w:val="16"/>
          <w:color w:val="auto"/>
        </w:rPr>
        <w:t>) in terms of the German Depositary Act (</w:t>
      </w:r>
      <w:r>
        <w:rPr>
          <w:rFonts w:ascii="Arial" w:cs="Arial" w:eastAsia="Arial" w:hAnsi="Arial"/>
          <w:sz w:val="16"/>
          <w:szCs w:val="16"/>
          <w:i w:val="1"/>
          <w:iCs w:val="1"/>
          <w:color w:val="auto"/>
        </w:rPr>
        <w:t>Depotgesetz</w:t>
      </w:r>
      <w:r>
        <w:rPr>
          <w:rFonts w:ascii="Arial" w:cs="Arial" w:eastAsia="Arial" w:hAnsi="Arial"/>
          <w:sz w:val="16"/>
          <w:szCs w:val="16"/>
          <w:color w:val="auto"/>
        </w:rPr>
        <w:t>) holding the underlying shares in a collective deposit, if such central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securities depository disburses the dividend income from the underlying shares to a foreign agent, regardless of whether a holder must report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dividend for tax purposes and regardless of whether or not a holder is a resident of Germany. Dividend payments, to the extent funded from BioNTech’s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tax-recognized contribution account (</w:t>
      </w:r>
      <w:r>
        <w:rPr>
          <w:rFonts w:ascii="Arial" w:cs="Arial" w:eastAsia="Arial" w:hAnsi="Arial"/>
          <w:sz w:val="16"/>
          <w:szCs w:val="16"/>
          <w:i w:val="1"/>
          <w:iCs w:val="1"/>
          <w:color w:val="auto"/>
        </w:rPr>
        <w:t>steuerliches Einlagekonto</w:t>
      </w:r>
      <w:r>
        <w:rPr>
          <w:rFonts w:ascii="Arial" w:cs="Arial" w:eastAsia="Arial" w:hAnsi="Arial"/>
          <w:sz w:val="16"/>
          <w:szCs w:val="16"/>
          <w:color w:val="auto"/>
        </w:rPr>
        <w:t>), do not, subject to certain prerequisites, form part of the taxable dividend income but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lower the holder’s acquisition costs for the ADSs.</w:t>
      </w:r>
    </w:p>
    <w:p>
      <w:pPr>
        <w:spacing w:after="0" w:line="21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Pursuant to the Treaty, the German withholding tax may generally not exceed (i) 15% of the gross amount of the dividends received by a U.S. treaty beneficiary other than a company holding ADSs which represent 10%</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220"/>
          </w:cols>
          <w:pgMar w:left="24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or more of the voting shares in BioNTech, and (ii) 5% of the gross amount of the dividends received by a U.S. treaty beneficiary that is a company holding ADSs which represent 10% or more of the voting shares in BioNTech. The excess of the total withholding tax, including the solidarity surcharge,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The U.S. treaty beneficiary is entitled to a partial refund from the German tax authorities in the amount of 11.375% of the gross dividend (of 100). As a result, the U.S. treaty beneficiary ultimately receives a total of 85 (85% of the declared dividend) following the refund of the excess withholding. However, investors should note that it is unclear how the German tax authorities will apply the refund process to dividends on the ADSs with respect to non-German resident holders of the ADSs. Further, such refund is subject to the German anti-avoidance treaty shopping rule (as described below in “— Withholding Tax Refund for U.S. Treaty Beneficiaries”).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German Withholding Taxation of Capital Gains of the U.S. Treaty Beneficiaries of the ADSs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capital gains from the disposition of the ADSs realized by a non-German resident holder which does not maintain a permanent establishment or other taxable presence in Germany would be treated as German source income and be subject to German tax if the ADSs qualify as a Qualified Participation. A Qualified Participation is given if a holder at any time during the five years preceding the disposition, directly or indirectly, owned 1% or more of BioNTech’s share capital, irrespective of whether through the ADSs or shares of BioNTech. If such holder had acquired the ADSs without consideration, the previous owner’s holding period and quota would be taken into account.</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Pursuant to the Treaty, capital gains from the disposition of a Qualified Participation realized by a U.S. treaty beneficiary are, however, generally exempt from German taxation. Pursuant to the Treaty, U.S. treaty beneficiaries are not subject to German tax in relation to capital gains from the disposition of a Qualified Participation even under the circumstances described in the preceding paragraph and therefore should not be subject to German taxation on capital gains from the disposition of the ADSs.</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German statutory law requires the disbursing agent to levy withholding tax on capital gains from the sale of ADSs or other securities held in a custodial account in Germany. With regard to the German taxation of capital gains, disbursing agent means a German credit institution, financial services institution, securities trading enterprise or securities trading bank (each as defined in the German Banking Act and, in each case including a German branch if a foreign enterprise, but excluding a foreign branch of a German enterprise) that holds the ADSs in custody or administers the ADSs for the investor or conducts sales or other dispositions and disburses or credits the income from the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7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However, a circular issued by the German Federal Ministry of Finance, dated January 18, 2016, reference number IV C 1-S2252/08/10004 :017,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1% or more of the share capital of a German company. While circulars issued by the German Federal Ministry of Finance are only binding on the German tax authorities but not on the German courts, in practice, the disbursing agents nevertheless typically rely on guidance contained in such circulars. Therefore, a disbursing agent would only withhold tax at 26.375% on capital gains derived by a U.S. treaty beneficiary from the sale of ADSs held in a custodial account in Germany in the event that the disbursing agent did not follow the abovementioned guidance. In this case, the U.S. treaty beneficiary may be entitled to claim a refund of the withholding tax from the German tax authorities under the Treaty, as described below in “—Withholding Tax Refund for U.S. Treaty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200"/>
          </w:cols>
          <w:pgMar w:left="24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Beneficiaries.” A refund of taxes withheld on capital gains from the disposition of the ADSs which do not qualify as Qualified Participations may also be claimed based on German statutory domestic law.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Withholding Tax Refund for U.S. Treaty Beneficiaries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U.S. treaty beneficiaries are generally eligible for treaty benefits under the Treaty, as described above in “—Taxation of Holders Not Tax Resident in Germany.” Accordingly, U.S. treaty beneficiaries are in general entitled to claim a refund of (i) the portion of the otherwise applicable 26.375% German withholding tax (</w:t>
      </w:r>
      <w:r>
        <w:rPr>
          <w:rFonts w:ascii="Arial" w:cs="Arial" w:eastAsia="Arial" w:hAnsi="Arial"/>
          <w:sz w:val="18"/>
          <w:szCs w:val="18"/>
          <w:i w:val="1"/>
          <w:iCs w:val="1"/>
          <w:color w:val="auto"/>
        </w:rPr>
        <w:t>Kapitalertragsteuer</w:t>
      </w:r>
      <w:r>
        <w:rPr>
          <w:rFonts w:ascii="Arial" w:cs="Arial" w:eastAsia="Arial" w:hAnsi="Arial"/>
          <w:sz w:val="18"/>
          <w:szCs w:val="18"/>
          <w:color w:val="auto"/>
        </w:rPr>
        <w:t>) on dividends that exceeds the applicable Treaty rate and (ii) the full amount of German withholding tax (</w:t>
      </w:r>
      <w:r>
        <w:rPr>
          <w:rFonts w:ascii="Arial" w:cs="Arial" w:eastAsia="Arial" w:hAnsi="Arial"/>
          <w:sz w:val="18"/>
          <w:szCs w:val="18"/>
          <w:i w:val="1"/>
          <w:iCs w:val="1"/>
          <w:color w:val="auto"/>
        </w:rPr>
        <w:t>Kapitalertragsteuer</w:t>
      </w:r>
      <w:r>
        <w:rPr>
          <w:rFonts w:ascii="Arial" w:cs="Arial" w:eastAsia="Arial" w:hAnsi="Arial"/>
          <w:sz w:val="18"/>
          <w:szCs w:val="18"/>
          <w:color w:val="auto"/>
        </w:rPr>
        <w:t>) on capital gains from the disposition of ADSs. The application for such claim is generally to be filed with the Federal Central Office of Taxation (</w:t>
      </w:r>
      <w:r>
        <w:rPr>
          <w:rFonts w:ascii="Arial" w:cs="Arial" w:eastAsia="Arial" w:hAnsi="Arial"/>
          <w:sz w:val="18"/>
          <w:szCs w:val="18"/>
          <w:i w:val="1"/>
          <w:iCs w:val="1"/>
          <w:color w:val="auto"/>
        </w:rPr>
        <w:t>Bundeszentralamt für Steuern</w:t>
      </w:r>
      <w:r>
        <w:rPr>
          <w:rFonts w:ascii="Arial" w:cs="Arial" w:eastAsia="Arial" w:hAnsi="Arial"/>
          <w:sz w:val="18"/>
          <w:szCs w:val="18"/>
          <w:color w:val="auto"/>
        </w:rPr>
        <w:t>).</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7"/>
          <w:szCs w:val="17"/>
          <w:i w:val="1"/>
          <w:iCs w:val="1"/>
          <w:color w:val="auto"/>
        </w:rPr>
        <w:t>Zufluss</w:t>
      </w:r>
      <w:r>
        <w:rPr>
          <w:rFonts w:ascii="Arial" w:cs="Arial" w:eastAsia="Arial" w:hAnsi="Arial"/>
          <w:sz w:val="17"/>
          <w:szCs w:val="17"/>
          <w:color w:val="auto"/>
        </w:rPr>
        <w:t>) of the dividends.</w:t>
      </w:r>
    </w:p>
    <w:p>
      <w:pPr>
        <w:spacing w:after="0" w:line="18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general, as previously discussed, investors should note that it is unclear how the German tax administration will apply the refund process to dividends on the ADSs. Further, such refund is subject to the German anti-avoidance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w:t>
      </w:r>
      <w:r>
        <w:rPr>
          <w:rFonts w:ascii="Arial" w:cs="Arial" w:eastAsia="Arial" w:hAnsi="Arial"/>
          <w:sz w:val="16"/>
          <w:szCs w:val="16"/>
          <w:i w:val="1"/>
          <w:iCs w:val="1"/>
          <w:color w:val="auto"/>
        </w:rPr>
        <w:t>Investmentsteuergesetz</w:t>
      </w:r>
      <w:r>
        <w:rPr>
          <w:rFonts w:ascii="Arial" w:cs="Arial" w:eastAsia="Arial" w:hAnsi="Arial"/>
          <w:sz w:val="16"/>
          <w:szCs w:val="16"/>
          <w:color w:val="auto"/>
        </w:rPr>
        <w:t>). Whether or not and to which extent the anti-avoidance treaty shopping rule applies to the ADSs has to be analyzed on a case by case basis taking into account all relevant tests. In addition, the interpretation of these tests is disputed and to date no published decisions of the German Federal Finance Court exist in this regard.</w:t>
      </w:r>
    </w:p>
    <w:p>
      <w:pPr>
        <w:spacing w:after="0" w:line="173"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Due to the legal structure of the ADSs, only limited guidance of the German tax authorities exists on the practical application of this procedure with respect to the ADSs.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Holders Tax Resident in Germany</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This subsection provides an overview of dividend taxation and of capital gains taxation with regard to the general principles applicable to ADS’s holders that are tax resident in Germany. A holder is a German tax</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220"/>
          </w:cols>
          <w:pgMar w:left="240" w:top="460"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resident if, in case of an individual, he or she maintains a domicile (</w:t>
      </w:r>
      <w:r>
        <w:rPr>
          <w:rFonts w:ascii="Arial" w:cs="Arial" w:eastAsia="Arial" w:hAnsi="Arial"/>
          <w:sz w:val="18"/>
          <w:szCs w:val="18"/>
          <w:i w:val="1"/>
          <w:iCs w:val="1"/>
          <w:color w:val="auto"/>
        </w:rPr>
        <w:t>Wohnsitz</w:t>
      </w:r>
      <w:r>
        <w:rPr>
          <w:rFonts w:ascii="Arial" w:cs="Arial" w:eastAsia="Arial" w:hAnsi="Arial"/>
          <w:sz w:val="18"/>
          <w:szCs w:val="18"/>
          <w:color w:val="auto"/>
        </w:rPr>
        <w:t>) or a usual residence (</w:t>
      </w:r>
      <w:r>
        <w:rPr>
          <w:rFonts w:ascii="Arial" w:cs="Arial" w:eastAsia="Arial" w:hAnsi="Arial"/>
          <w:sz w:val="18"/>
          <w:szCs w:val="18"/>
          <w:i w:val="1"/>
          <w:iCs w:val="1"/>
          <w:color w:val="auto"/>
        </w:rPr>
        <w:t>gewöhnlicher Aufenthalt</w:t>
      </w:r>
      <w:r>
        <w:rPr>
          <w:rFonts w:ascii="Arial" w:cs="Arial" w:eastAsia="Arial" w:hAnsi="Arial"/>
          <w:sz w:val="18"/>
          <w:szCs w:val="18"/>
          <w:color w:val="auto"/>
        </w:rPr>
        <w:t>) in Germany or if, in case of a corporation, it has its place of management (</w:t>
      </w:r>
      <w:r>
        <w:rPr>
          <w:rFonts w:ascii="Arial" w:cs="Arial" w:eastAsia="Arial" w:hAnsi="Arial"/>
          <w:sz w:val="18"/>
          <w:szCs w:val="18"/>
          <w:i w:val="1"/>
          <w:iCs w:val="1"/>
          <w:color w:val="auto"/>
        </w:rPr>
        <w:t>Geschäftsleitung</w:t>
      </w:r>
      <w:r>
        <w:rPr>
          <w:rFonts w:ascii="Arial" w:cs="Arial" w:eastAsia="Arial" w:hAnsi="Arial"/>
          <w:sz w:val="18"/>
          <w:szCs w:val="18"/>
          <w:color w:val="auto"/>
        </w:rPr>
        <w:t>) or registered office (Sitz) in Germany.</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ADSs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ADSs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ADSs as Private Assets (Privatvermögen)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the ADSs are held as private assets by a German tax resident, dividends and capital gains (other than capital gains from the disposition of a Qualified Participation) are taxed as investment income and are principally subject to 25% German flat income tax on capital income (</w:t>
      </w:r>
      <w:r>
        <w:rPr>
          <w:rFonts w:ascii="Arial" w:cs="Arial" w:eastAsia="Arial" w:hAnsi="Arial"/>
          <w:sz w:val="17"/>
          <w:szCs w:val="17"/>
          <w:i w:val="1"/>
          <w:iCs w:val="1"/>
          <w:color w:val="auto"/>
        </w:rPr>
        <w:t>Abgeltungsteuer</w:t>
      </w:r>
      <w:r>
        <w:rPr>
          <w:rFonts w:ascii="Arial" w:cs="Arial" w:eastAsia="Arial" w:hAnsi="Arial"/>
          <w:sz w:val="17"/>
          <w:szCs w:val="17"/>
          <w:color w:val="auto"/>
        </w:rPr>
        <w:t>) (plus a 5.5% solidarity surcharge (</w:t>
      </w:r>
      <w:r>
        <w:rPr>
          <w:rFonts w:ascii="Arial" w:cs="Arial" w:eastAsia="Arial" w:hAnsi="Arial"/>
          <w:sz w:val="17"/>
          <w:szCs w:val="17"/>
          <w:i w:val="1"/>
          <w:iCs w:val="1"/>
          <w:color w:val="auto"/>
        </w:rPr>
        <w:t>Solidaritätszuschlag</w:t>
      </w:r>
      <w:r>
        <w:rPr>
          <w:rFonts w:ascii="Arial" w:cs="Arial" w:eastAsia="Arial" w:hAnsi="Arial"/>
          <w:sz w:val="17"/>
          <w:szCs w:val="17"/>
          <w:color w:val="auto"/>
        </w:rPr>
        <w:t>) thereon, resulting in an aggregate rate of 26.375%), which is levied in the form of withholding tax (</w:t>
      </w:r>
      <w:r>
        <w:rPr>
          <w:rFonts w:ascii="Arial" w:cs="Arial" w:eastAsia="Arial" w:hAnsi="Arial"/>
          <w:sz w:val="17"/>
          <w:szCs w:val="17"/>
          <w:i w:val="1"/>
          <w:iCs w:val="1"/>
          <w:color w:val="auto"/>
        </w:rPr>
        <w:t>Kapitalertragsteuer</w:t>
      </w:r>
      <w:r>
        <w:rPr>
          <w:rFonts w:ascii="Arial" w:cs="Arial" w:eastAsia="Arial" w:hAnsi="Arial"/>
          <w:sz w:val="17"/>
          <w:szCs w:val="17"/>
          <w:color w:val="auto"/>
        </w:rPr>
        <w:t>). In other words, once deducted, the holder’s income tax liability on the dividends will be settled. Dividend payments to the extent funded from BioNTech’s tax-recognized contribution account (</w:t>
      </w:r>
      <w:r>
        <w:rPr>
          <w:rFonts w:ascii="Arial" w:cs="Arial" w:eastAsia="Arial" w:hAnsi="Arial"/>
          <w:sz w:val="17"/>
          <w:szCs w:val="17"/>
          <w:i w:val="1"/>
          <w:iCs w:val="1"/>
          <w:color w:val="auto"/>
        </w:rPr>
        <w:t>steuerliches Einlagekonto</w:t>
      </w:r>
      <w:r>
        <w:rPr>
          <w:rFonts w:ascii="Arial" w:cs="Arial" w:eastAsia="Arial" w:hAnsi="Arial"/>
          <w:sz w:val="17"/>
          <w:szCs w:val="17"/>
          <w:color w:val="auto"/>
        </w:rPr>
        <w:t>), do not, subject to certain prerequisites, form part of the taxable dividend income but lower the holder’s acquisition costs for the ADSs.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Holders of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ADSs), less the saver’s allowance of €801 for an individual or €1,602 for a married couple and a registered civil union (</w:t>
      </w:r>
      <w:r>
        <w:rPr>
          <w:rFonts w:ascii="Arial" w:cs="Arial" w:eastAsia="Arial" w:hAnsi="Arial"/>
          <w:sz w:val="17"/>
          <w:szCs w:val="17"/>
          <w:i w:val="1"/>
          <w:iCs w:val="1"/>
          <w:color w:val="auto"/>
        </w:rPr>
        <w:t>eingetragene Lebenspartnerschaft</w:t>
      </w:r>
      <w:r>
        <w:rPr>
          <w:rFonts w:ascii="Arial" w:cs="Arial" w:eastAsia="Arial" w:hAnsi="Arial"/>
          <w:sz w:val="17"/>
          <w:szCs w:val="17"/>
          <w:color w:val="auto"/>
        </w:rPr>
        <w:t>) filing taxes jointly. The deduction of expenses related to the investment income (including dividends or gains with respect to ADSs) is generally not possible for private investors.</w:t>
      </w:r>
    </w:p>
    <w:p>
      <w:pPr>
        <w:spacing w:after="0" w:line="173"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Losses resulting from the disposal of ADSs can only be offset against capital gains from the sale of any shares (</w:t>
      </w:r>
      <w:r>
        <w:rPr>
          <w:rFonts w:ascii="Arial" w:cs="Arial" w:eastAsia="Arial" w:hAnsi="Arial"/>
          <w:sz w:val="16"/>
          <w:szCs w:val="16"/>
          <w:i w:val="1"/>
          <w:iCs w:val="1"/>
          <w:color w:val="auto"/>
        </w:rPr>
        <w:t>Aktien</w:t>
      </w:r>
      <w:r>
        <w:rPr>
          <w:rFonts w:ascii="Arial" w:cs="Arial" w:eastAsia="Arial" w:hAnsi="Arial"/>
          <w:sz w:val="16"/>
          <w:szCs w:val="16"/>
          <w:color w:val="auto"/>
        </w:rPr>
        <w:t>) and other ADSs. If, however, a holder holds a Qualifying Participation, 60% of any capital gains resulting from the sale and transfer are taxable at the holder’s personal income tax rate (plus 5.5% solidarity surcharge thereon). Conversely, 60% of any capital losses are recognized for tax purposes.</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Church tax generally has to be withheld, if applicable, based on an automatic data access procedure, unless the holder of ADSs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Federal Central Tax Office. Where church tax is not levied by way of withholding, it is determined by means of income tax assessment.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ADSs as Business Assets (Betriebsvermögen)</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 case the ADSs are held as business assets, the taxation depends on the legal form of the holder (</w:t>
      </w:r>
      <w:r>
        <w:rPr>
          <w:rFonts w:ascii="Arial" w:cs="Arial" w:eastAsia="Arial" w:hAnsi="Arial"/>
          <w:sz w:val="18"/>
          <w:szCs w:val="18"/>
          <w:i w:val="1"/>
          <w:iCs w:val="1"/>
          <w:color w:val="auto"/>
        </w:rPr>
        <w:t>i.e.</w:t>
      </w:r>
      <w:r>
        <w:rPr>
          <w:rFonts w:ascii="Arial" w:cs="Arial" w:eastAsia="Arial" w:hAnsi="Arial"/>
          <w:sz w:val="18"/>
          <w:szCs w:val="18"/>
          <w:color w:val="auto"/>
        </w:rPr>
        <w:t>, whether the holder is a corporation or an individual).</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occurring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220"/>
          </w:cols>
          <w:pgMar w:left="24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97" w:lineRule="auto"/>
        <w:rPr>
          <w:sz w:val="20"/>
          <w:szCs w:val="20"/>
          <w:color w:val="auto"/>
        </w:rPr>
      </w:pPr>
      <w:r>
        <w:rPr>
          <w:rFonts w:ascii="Arial" w:cs="Arial" w:eastAsia="Arial" w:hAnsi="Arial"/>
          <w:sz w:val="16"/>
          <w:szCs w:val="16"/>
          <w:color w:val="auto"/>
        </w:rPr>
        <w:t>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6"/>
          <w:szCs w:val="16"/>
          <w:i w:val="1"/>
          <w:iCs w:val="1"/>
          <w:color w:val="auto"/>
        </w:rPr>
        <w:t>Zufluss</w:t>
      </w:r>
      <w:r>
        <w:rPr>
          <w:rFonts w:ascii="Arial" w:cs="Arial" w:eastAsia="Arial" w:hAnsi="Arial"/>
          <w:sz w:val="16"/>
          <w:szCs w:val="16"/>
          <w:color w:val="auto"/>
        </w:rPr>
        <w:t>) of the dividends.</w:t>
      </w:r>
    </w:p>
    <w:p>
      <w:pPr>
        <w:spacing w:after="0" w:line="15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To the extent the amount withheld exceeds the income tax liability, the withholding tax will be refunded, provided that certain requirements are met (including the aforementioned requirements).</w:t>
      </w:r>
    </w:p>
    <w:p>
      <w:pPr>
        <w:spacing w:after="0" w:line="17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Special rules apply to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 (</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and pension funds.</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With regard to holders in the legal form of a corporation, capital gains are in general effectively 95% tax exempt from corporate income tax (including solidarity surcharge). Dividends are also generally 95% tax exempt from corporate income tax (including solidarity surcharge), inter alia, if the holder held at least 10% of the registered share capital (</w:t>
      </w:r>
      <w:r>
        <w:rPr>
          <w:rFonts w:ascii="Arial" w:cs="Arial" w:eastAsia="Arial" w:hAnsi="Arial"/>
          <w:sz w:val="17"/>
          <w:szCs w:val="17"/>
          <w:i w:val="1"/>
          <w:iCs w:val="1"/>
          <w:color w:val="auto"/>
        </w:rPr>
        <w:t>Grundkapital oder Stammkapital</w:t>
      </w:r>
      <w:r>
        <w:rPr>
          <w:rFonts w:ascii="Arial" w:cs="Arial" w:eastAsia="Arial" w:hAnsi="Arial"/>
          <w:sz w:val="17"/>
          <w:szCs w:val="17"/>
          <w:color w:val="auto"/>
        </w:rPr>
        <w:t>) of BioNTech at the beginning of the calendar year (“Qualifying Dividends”). Five percent of the capital gains and five percent of the Qualifying Dividends are treated as non-deductible business expenses, respectively, and, as such, are subject to corporate income tax (including solidarity surcharge);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are attributable to the respective partner only on a pro rata basis at the ratio of its entitlement to the profits of the partnership.</w:t>
      </w:r>
    </w:p>
    <w:p>
      <w:pPr>
        <w:spacing w:after="0" w:line="182"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Further, capital gains and dividend income of a German tax resident corporation are generally subject to German trade tax. The aforementioned 95% exemption for capital gains generally applies also for trade tax purposes.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However, the amount of any dividends after deducting business expenses related to the dividends is not subject to trade tax if the corporation held at least 15% of BioNTech’s registered share capital at the beginning of the relevant tax assessment period. In the latter case, the aforementioned exemption of 95% of the dividend income also applies for trade tax purposes. Losses from the sale of ADSs are generally not tax deductible for corporate income tax and trade tax purposes.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With regard to individuals holding ADSs as business assets, 60% of dividends and capital gains are taxed at the individual’s personal income tax rate (plus 5.5% solidarity surcharge thereon). Correspondingly, only 60% of business expenses related to the dividends and capital gains as well as losses from the sale of ADSs are principally deductible for income tax purposes.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German Inheritance and Gift Tax (Erbschaft- und Schenkungsteuer)</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of ADSs to another person by inheritance or gift should be generally subject to German inheritance and gift tax only if:</w:t>
      </w:r>
    </w:p>
    <w:p>
      <w:pPr>
        <w:spacing w:after="0" w:line="131" w:lineRule="exact"/>
        <w:rPr>
          <w:sz w:val="20"/>
          <w:szCs w:val="20"/>
          <w:color w:val="auto"/>
        </w:rPr>
      </w:pPr>
    </w:p>
    <w:p>
      <w:pPr>
        <w:ind w:left="640" w:right="140" w:hanging="436"/>
        <w:spacing w:after="0" w:line="277" w:lineRule="auto"/>
        <w:tabs>
          <w:tab w:leader="none" w:pos="6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decedent or donor or heir, beneficiary or other transferee (a) maintained his or her domicile or a usual residence in Germany, (b) had its place of management or registered office in Germany at the time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200"/>
          </w:cols>
          <w:pgMar w:left="240" w:top="460"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20"/>
        <w:spacing w:after="0" w:line="297" w:lineRule="auto"/>
        <w:rPr>
          <w:sz w:val="20"/>
          <w:szCs w:val="20"/>
          <w:color w:val="auto"/>
        </w:rPr>
      </w:pPr>
      <w:r>
        <w:rPr>
          <w:rFonts w:ascii="Arial" w:cs="Arial" w:eastAsia="Arial" w:hAnsi="Arial"/>
          <w:sz w:val="16"/>
          <w:szCs w:val="16"/>
          <w:color w:val="auto"/>
        </w:rPr>
        <w:t>transfer, (c) is a German citizen who has spent no more than five consecutive years outside of Germany without maintaining a domicile in Germany or (d)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64" w:lineRule="exact"/>
        <w:rPr>
          <w:sz w:val="20"/>
          <w:szCs w:val="20"/>
          <w:color w:val="auto"/>
        </w:rPr>
      </w:pPr>
    </w:p>
    <w:p>
      <w:pPr>
        <w:ind w:left="640" w:hanging="436"/>
        <w:spacing w:after="0" w:line="277" w:lineRule="auto"/>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at the time of the transfer, the ADSs are held by the decedent or donor as business assets forming part of a permanent establishment in Germany or for which a permanent representative in Germany has been appointed; or</w:t>
      </w:r>
    </w:p>
    <w:p>
      <w:pPr>
        <w:spacing w:after="0" w:line="75" w:lineRule="exact"/>
        <w:rPr>
          <w:rFonts w:ascii="Arial" w:cs="Arial" w:eastAsia="Arial" w:hAnsi="Arial"/>
          <w:sz w:val="18"/>
          <w:szCs w:val="18"/>
          <w:color w:val="auto"/>
        </w:rPr>
      </w:pPr>
    </w:p>
    <w:p>
      <w:pPr>
        <w:ind w:left="640" w:right="160" w:hanging="436"/>
        <w:spacing w:after="0" w:line="308" w:lineRule="auto"/>
        <w:tabs>
          <w:tab w:leader="none" w:pos="64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Agreement between the Federal Republic of Germany and the United States of America for the avoidance of double taxation with respect to taxes on inheritances and gifts as of December 21, 2000 (</w:t>
      </w:r>
      <w:r>
        <w:rPr>
          <w:rFonts w:ascii="Arial" w:cs="Arial" w:eastAsia="Arial" w:hAnsi="Arial"/>
          <w:sz w:val="18"/>
          <w:szCs w:val="18"/>
          <w:i w:val="1"/>
          <w:iCs w:val="1"/>
          <w:color w:val="auto"/>
        </w:rPr>
        <w:t>Abkommen zwischen der Bundesrepublik Deutschland und den Vereinigten Staaten von</w:t>
      </w:r>
      <w:r>
        <w:rPr>
          <w:rFonts w:ascii="Arial" w:cs="Arial" w:eastAsia="Arial" w:hAnsi="Arial"/>
          <w:sz w:val="18"/>
          <w:szCs w:val="18"/>
          <w:color w:val="auto"/>
        </w:rPr>
        <w:t xml:space="preserve"> </w:t>
      </w:r>
      <w:r>
        <w:rPr>
          <w:rFonts w:ascii="Arial" w:cs="Arial" w:eastAsia="Arial" w:hAnsi="Arial"/>
          <w:sz w:val="18"/>
          <w:szCs w:val="18"/>
          <w:i w:val="1"/>
          <w:iCs w:val="1"/>
          <w:color w:val="auto"/>
        </w:rPr>
        <w:t>Amerika zur Vermeidung der Doppelbesteuerung auf dem Gebiet der Nachlass-, Erbschaft- und Schenkungssteuern in der Fassung vom 21. Dezember 2000</w:t>
      </w:r>
      <w:r>
        <w:rPr>
          <w:rFonts w:ascii="Arial" w:cs="Arial" w:eastAsia="Arial" w:hAnsi="Arial"/>
          <w:sz w:val="18"/>
          <w:szCs w:val="18"/>
          <w:color w:val="auto"/>
        </w:rPr>
        <w:t>), hereinafter referred to as the “United States-Germany Inheritance and Gifts Tax Treaty,” provides that the German inheritance tax or gift tax can,</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 restrictions, only be levied in the cases of (i) and (ii) above. Special provisions apply to certain German citizens living outside of Germany and former German citizens.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Taxes</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No German transfer tax, value-added tax, stamp duty or similar taxes are assessed on the purchase, sale or other transfer of ADSs. Provided that certain requirements are met, an entrepreneur may, however, opt for value-added tax on transactions that are otherwise tax-exempt. Net wealth tax (</w:t>
      </w:r>
      <w:r>
        <w:rPr>
          <w:rFonts w:ascii="Arial" w:cs="Arial" w:eastAsia="Arial" w:hAnsi="Arial"/>
          <w:sz w:val="18"/>
          <w:szCs w:val="18"/>
          <w:i w:val="1"/>
          <w:iCs w:val="1"/>
          <w:color w:val="auto"/>
        </w:rPr>
        <w:t>Vermögensteuer</w:t>
      </w:r>
      <w:r>
        <w:rPr>
          <w:rFonts w:ascii="Arial" w:cs="Arial" w:eastAsia="Arial" w:hAnsi="Arial"/>
          <w:sz w:val="18"/>
          <w:szCs w:val="18"/>
          <w:color w:val="auto"/>
        </w:rPr>
        <w:t>) is currently not imposed in Germany. Certain member states of the European Union and also Germany on a standalone basis are considering introducing a financial transaction tax (</w:t>
      </w:r>
      <w:r>
        <w:rPr>
          <w:rFonts w:ascii="Arial" w:cs="Arial" w:eastAsia="Arial" w:hAnsi="Arial"/>
          <w:sz w:val="18"/>
          <w:szCs w:val="18"/>
          <w:i w:val="1"/>
          <w:iCs w:val="1"/>
          <w:color w:val="auto"/>
        </w:rPr>
        <w:t>Finanztransaktionssteuer</w:t>
      </w:r>
      <w:r>
        <w:rPr>
          <w:rFonts w:ascii="Arial" w:cs="Arial" w:eastAsia="Arial" w:hAnsi="Arial"/>
          <w:sz w:val="18"/>
          <w:szCs w:val="18"/>
          <w:color w:val="auto"/>
        </w:rPr>
        <w:t>) which, if and when introduced, may also be applicable on sales and/or transfer of ADSs.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following discussion describes material U.S. federal income tax considerations relating to the acquisition, ownership and disposition of ADSs by a U.S. Holder (as defined below) that acquires our ADSs and holds them as a capital asset. This discussion is based on the tax laws of the United States, including the Internal Revenue Code of 1986, as amended, or the Code, Treasury regulations promulgated or proposed thereunder, and administrative and judicial interpretations thereof, all as in effect on the date hereof. These tax laws are subject to change, possibly with retroactive effect, and subject to differing interpretations that could affect the tax consequences described herein. This section does not address the treatment of a non-U.S. holder, nor does it address the tax treatment under the laws of any state, local or foreign taxing jurisdiction.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this discussion, a “U.S. Holder” is a beneficial owner of our ADSs that, for U.S. federal income tax purposes, is:</w:t>
      </w:r>
    </w:p>
    <w:p>
      <w:pPr>
        <w:spacing w:after="0" w:line="131" w:lineRule="exact"/>
        <w:rPr>
          <w:sz w:val="20"/>
          <w:szCs w:val="20"/>
          <w:color w:val="auto"/>
        </w:rPr>
      </w:pPr>
    </w:p>
    <w:p>
      <w:pPr>
        <w:ind w:left="1180" w:hanging="436"/>
        <w:spacing w:after="0"/>
        <w:tabs>
          <w:tab w:leader="none" w:pos="11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 domestic corporation (or other entity taxable as a corporation);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80" w:right="280" w:hanging="436"/>
        <w:spacing w:after="0" w:line="277" w:lineRule="auto"/>
        <w:tabs>
          <w:tab w:leader="none" w:pos="11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trust’s administration and one or more U.S. persons have the authority to control all substantial decisions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200"/>
          </w:cols>
          <w:pgMar w:left="24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trust or (ii) a valid election under the Treasury regulations is in effect for the trust to be treated as a U.S. person.</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discussion does not address all aspects of U.S. federal income taxation that may be applicable to U.S. Holders in light of their particular circumstances or status (including, for example, banks and other financial institutions, insurance companies, broker and dealers in securities or currencies, traders that have elected to mark securities to market, regulated investment companies, real estate investment trusts, partnerships or other pass-through entities, corporations that accumulate earnings to avoid U.S. federal income tax, tax-exempt organizations, pension plans, persons that hold our shares as part of a straddle, hedge or other integrated investment, persons subject to alternative minimum tax or whose “functional currency” is not the U.S. dollar).</w:t>
      </w:r>
    </w:p>
    <w:p>
      <w:pPr>
        <w:spacing w:after="0" w:line="19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our ADSs, the tax treatment of a person treated as a partner in the partnership for U.S. federal income tax purposes generally will depend on the status of the partner and the activities of the partnership. Partnerships (and other entities or arrangements so treated for U.S. federal income tax purposes) and their partners should consult their own tax advisors.</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general, and taking into account the earlier assumptions, for U.S. federal income and German tax purposes, a holder of ADSs will be treated as the owner of the shares represented by those ADSs. Exchanges of shares for ADSs, and ADSs for shares, generally will not be subject to U.S. federal income or to German tax.</w:t>
      </w:r>
    </w:p>
    <w:p>
      <w:pPr>
        <w:spacing w:after="0" w:line="289"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b w:val="1"/>
          <w:bCs w:val="1"/>
          <w:i w:val="1"/>
          <w:iCs w:val="1"/>
          <w:color w:val="auto"/>
        </w:rPr>
        <w:t>This discussion addresses only U.S. Holders and does not discuss any tax considerations other than U.S. federal income tax considerations. Prospective investors are urged to consult their own tax advisors regarding the U.S. federal, state and local, and foreign tax consequences of the purchase, ownership, and disposition of ADSs.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Under the U.S. federal income tax laws, and subject to the passive foreign investment company, or PFIC, rules discussed below, the gross amount of any dividend we pay out of our current or accumulated earnings and profits (as determined for U.S. federal income tax purposes) is includible in income for a U.S. Holder and subject to U.S. federal income taxation. Dividends paid to a noncorporate U.S. Holder that constitute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Dividends we pay with respect to the ADSs generally will be qualified dividend income.</w:t>
      </w:r>
    </w:p>
    <w:p>
      <w:pPr>
        <w:spacing w:after="0" w:line="19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 U.S. Holder must include any German tax withheld from the dividend payment, as described above under “—German Taxation—General Rules for the Taxation of Holders Not Tax Resident in Germany,” in the gross amount of dividend paid even though the holder does not in fact receive it. The dividend is taxable to the holder when the depositary receives the dividend, actually or constructively. Because we are not a U.S. corporation, the dividend will not be eligible for the dividends-received deduction generally allowed to U.S. corporations in respect of dividends received from other U.S. corporations. The amount of the dividend distribution includible in U.S. Holder’s income will be the U.S. dollar value of the Euro payments made, determined at the spot Euro/U.S. dollar rate on the date the dividend distribution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w:t>
      </w:r>
    </w:p>
    <w:p>
      <w:pPr>
        <w:spacing w:after="0" w:line="17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To the extent a distribution with respect to ADSs exceeds our current or accumulated earnings and profits, as determined under U.S. federal income tax principles, the distribution will be treated, first, as a tax-free return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200"/>
          </w:cols>
          <w:pgMar w:left="240" w:top="460"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of the U.S. Holder’s investment, up to the holder’s adjusted tax basis in its ADSs, and, thereafter, as capital gain, which is subject to the tax treatment described below in “—Gain on Sale, Exchange or Other Taxable Disposition.”</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Subject to certain limitations, the German tax withheld in accordance with the Treaty and paid over to the German taxing authority will be creditable or deductible against a U.S. Holder’s U.S. federal income tax liability. To the extent a refund of the tax withheld is available to a U.S. Holder under German law or under the Treaty, the amount of tax withheld that is refundable will not be eligible for credit against a U.S. Holder’s U.S. federal income tax liability. See “—German Taxation—Withholding Tax Refund for U.S. Treaty Beneficiaries” above for the procedures for obtaining a tax refund.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 On Sale, Exchange or Other Taxable Disposition</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Subject to the PFIC rules described below under “—Passive Foreign Investment Company Considerations”, a U.S. Holder that sells, exchanges or otherwise disposes of ADSs in a taxable disposition generally will recognize capital gain or loss for U.S. federal income tax purposes equal to the difference between the U.S. dollar value of the amount realized and the holder’s tax basis, determined in U.S. dollars, in the ADSs. Gain or loss recognized on such a sale, exchange or other disposition of ADSs generally will be long-term capital gain if the U.S. Holder’s holding period in the ADSs exceeds one year. Long-term capital gains of non-corporate U.S. Holders are generally taxed at preferential rates. The gain or loss generally will be income or loss from sources within the United States for foreign tax credit limitation purposes. A U.S. Holder’s ability to deduct capital losses is subject to limitations.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We do not believe that we should be treated as, and do not expect to become, a PFIC. Because the determination of our PFIC status is made annually based on the factual tests described below, however, we cannot provide any assurances regarding our PFIC status for the current or future taxable years or that the IRS will agree with our conclusion regarding our PFIC status.</w:t>
      </w:r>
    </w:p>
    <w:p>
      <w:pPr>
        <w:spacing w:after="0" w:line="18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If we were classified as a PFIC in any taxable year, a U.S. Holder would be subject to special rules with respect to distributions on and sales, exchanges and other dispositions of the ADSs. We will be treated as a PFIC for any taxable year in which at least 75% of our gross income is “passive income” or at least 50% of our gross assets during the taxable year (based on the average of the fair market values of the assets determined at the end of each quarterly period) are assets that produce or are held for the production of passive income.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are not considered passive income for purposes of the PFIC test. In determining whether we are a PFIC, a pro rata portion of the income and assets of each corporation in which we own, directly or indirectly, at least a 25% interest (by value) is taken into account.</w:t>
      </w:r>
    </w:p>
    <w:p>
      <w:pPr>
        <w:spacing w:after="0" w:line="166"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If we were a PFIC with respect to a U.S. Holder, then unless such U.S. Holder makes one of the elections described below, a special tax regime would apply to the U.S. Holder with respect to (i) any “excess distribution” (generally, aggregate distributions in any year that are greater than 125% of the average annual distribution received by the holder in the shorter of the three preceding years or the holder’s holding period for the ADSs) and</w:t>
      </w:r>
    </w:p>
    <w:p>
      <w:pPr>
        <w:ind w:left="200" w:firstLine="4"/>
        <w:spacing w:after="0" w:line="253" w:lineRule="auto"/>
        <w:tabs>
          <w:tab w:leader="none" w:pos="46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gain realized on the sale or other disposition of the ADSs. Under this regime, any excess distribution and realized gain will be treated as ordinary income and will be subject to tax as if (a) the excess distribution or gain had been realized ratably over the U.S. Holder’s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220"/>
          </w:cols>
          <w:pgMar w:left="240" w:top="460"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302" w:lineRule="auto"/>
        <w:rPr>
          <w:sz w:val="20"/>
          <w:szCs w:val="20"/>
          <w:color w:val="auto"/>
        </w:rPr>
      </w:pPr>
      <w:r>
        <w:rPr>
          <w:rFonts w:ascii="Arial" w:cs="Arial" w:eastAsia="Arial" w:hAnsi="Arial"/>
          <w:sz w:val="16"/>
          <w:szCs w:val="16"/>
          <w:color w:val="auto"/>
        </w:rPr>
        <w:t>the interest charge discussed below), and (c) the interest charge generally applicable to underpayments of tax had been imposed on the taxes deemed to have been payable in those years. If we were determined to be a PFIC, this tax treatment for U.S. Holders would apply also to indirect distributions and gains deemed realized by U.S. Holders in respect of stock of any of our subsidiaries determined to be PFICs. In addition, dividend distributions would not qualify for the lower rates of taxation applicable to long-term capital gains discussed above under “—Taxation of Dividends.”</w:t>
      </w:r>
    </w:p>
    <w:p>
      <w:pPr>
        <w:spacing w:after="0" w:line="154"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A U.S. Holder that holds the ADSs at any time during a taxable year in which we are classified as a PFIC generally will continue to treat such ADSs as ADSs in a PFIC, even if we no longer satisfy the income and asset tests described above, unless the U.S. Holder elects to recognize gain, which will be taxed under the excess distribution rules as if such ADSs had been sold on the last day of the last taxable year for which we were a PFIC.</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Certain elections by a U.S. Holder would alleviate some of the adverse consequences of PFIC status and would result in an alternative treatment of the ADSs, as described below.</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we were a PFIC, the rules above would not apply to a U.S. Holder that makes an election to treat ADSs as stock of a “qualified electing fund” or QEF. However, we do not expect that a U.S. Holder would be able to make this election because we do not intend to provide to U.S. Holders the required information to make a valid QEF election.</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If we were a PFIC, the rules above also would not apply to a U.S. Holder that makes a “mark-to-market” election with respect to the ADSs, but this election will be available with respect to the ADSs only if they meet certain minimum trading requirements to be considered “marketable stock” for purposes of the PFIC rules. Generally, shares of ADSs will be treated as marketable stock if they are “regularly traded” on a “qualified exchange” within the meaning of applicable U.S. Treasury Regulations. ADSs generally will be considered regularly traded during any calendar year during which they are traded, other than 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quantities, on at least 15 days during each calendar quarter. Any trades that have as their principal purpose meeting this requirement will be disregarded. Our ADSs will be marketable stock as long as they remain listed on the Nasdaq Global Select Market and are regularly traded.</w:t>
      </w:r>
    </w:p>
    <w:p>
      <w:pPr>
        <w:spacing w:after="0" w:line="18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A U.S. Holder that makes a valid mark-to-market election for the first tax year in which the holder holds (or is deemed to hold) ADSs and for which we are a PFIC will be required to include each year an amount equal to the excess, if any, of the fair market value of such ADSs the holder owns as of the close of the taxable year over the holder’s adjusted tax basis in such ADSs. The U.S. Holder will be entitled to a deduction for the excess, if any, of the holder’s adjusted tax basis in the ADSs over the fair market value of such ADSs as of the close of the taxable year, but only to the extent of any net mark-to-market gains with respect to such ADSs included by the U.S. Holder under the election for prior taxable years. The U.S. Holder’s basis in such ADSs will be adjusted to reflect the amounts included or deducted pursuant to the election. Amounts included in income pursuant to a mark-to-market election, as well as gain on the sale, exchange or other taxable disposition of such ADSs, will be treated as ordinary income. The deductible portion of any mark-to-market loss, as well as loss on a sale, exchange or other disposition of ADSs to the extent that the amount of such loss does not exceed net mark-to-market gains previously included in income, will be treated as ordinary loss.</w:t>
      </w:r>
    </w:p>
    <w:p>
      <w:pPr>
        <w:spacing w:after="0" w:line="18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mark-to-market election applies to the taxable year for which the election is made and all subsequent taxable years, unless the shares cease to be treated as marketable stock for purposes of the PFIC rules or the IRS consents to its revocation. The excess distribution rules described above generally will not apply to a U.S. Holder for tax years for which a mark-to-market election is in effect. However, if we were a PFIC for any year in which the U.S. Holder owns the ADSs but before a mark-to-market election is made, the interest charge rules described above would apply to any mark-to-market gain recognized in the year the election is made.</w:t>
      </w:r>
    </w:p>
    <w:p>
      <w:pPr>
        <w:spacing w:after="0" w:line="18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 U.S. Holder of PFIC shares must generally file an annual information return on IRS Form 8621 (Information Return by a Shareholder of a Passive Foreign Investment Company or Qualified Electing Fund).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220"/>
          </w:cols>
          <w:pgMar w:left="24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failure to file IRS Form 8621 could result in the imposition of penalties and the extension of the statute of limitations with respect to U.S. federal income tax.</w:t>
      </w:r>
    </w:p>
    <w:p>
      <w:pPr>
        <w:spacing w:after="0" w:line="279" w:lineRule="exact"/>
        <w:rPr>
          <w:sz w:val="20"/>
          <w:szCs w:val="20"/>
          <w:color w:val="auto"/>
        </w:rPr>
      </w:pPr>
    </w:p>
    <w:p>
      <w:pPr>
        <w:ind w:left="200" w:right="40"/>
        <w:spacing w:after="0" w:line="375" w:lineRule="auto"/>
        <w:rPr>
          <w:sz w:val="20"/>
          <w:szCs w:val="20"/>
          <w:color w:val="auto"/>
        </w:rPr>
      </w:pPr>
      <w:r>
        <w:rPr>
          <w:rFonts w:ascii="Arial" w:cs="Arial" w:eastAsia="Arial" w:hAnsi="Arial"/>
          <w:sz w:val="15"/>
          <w:szCs w:val="15"/>
          <w:b w:val="1"/>
          <w:bCs w:val="1"/>
          <w:i w:val="1"/>
          <w:iCs w:val="1"/>
          <w:color w:val="auto"/>
        </w:rPr>
        <w:t>U.S. Holders are urged to consult their tax advisors as to our status as a PFIC, and the tax consequences to them if we were a PFIC, including the reporting requirements and the desirability of making, and the availability of, a QEF election or a mark-to-market election with respect to the ADSs.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Non-corporate U.S. Holders that are individuals, estates or trusts and whose income exceeds certain thresholds generally are subject to a 3.8% tax on all or a portion of their net investment income, which may include their gross dividend income and net gains from the disposition of ADSs. A U.S. person that is an individual, estate or trust is encouraged to consult its tax advisors regarding the applicability of this Medicare tax to its income and gains in respect of any investment in ADSs.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with Respect to Foreign Financial Assets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Individual U.S. Holders may be subject to certain reporting obligations on IRS Form 8938 (Statement of Specified Foreign Financial Assets) with respect to the ADSs for any taxable year during which the U.S. Holder’s aggregate value of these and certain other “specified foreign financial assets” exceed a threshold amount that varies with the filing status of the individual. This reporting obligation also applies to domestic entities formed or availed of to hold, directly or indirectly, specified foreign financial assets, including the ADSs. Significant penalties can apply if U.S. Holders are required to make this disclosure and fail to do so.</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U.S. Holders who acquire ADSs for cash may be required to file IRS Form 926 (Return by a U.S. Transferor of Property to a Foreign Corporation) with the IRS and to supply certain additional information to the IRS if (i) immediately after the transfer, the U.S. Holder owns directly or indirectly (or by attribution) at least 10% of our total voting power or value or (ii) the amount of cash transferred to us in exchange for ADSs, when aggregated with all related transfers under applicable regulations, exceeds $100,000. Substantial penalties may be imposed on a U.S. Holder that fails to comply with this reporting requirement.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general, information reporting, on IRS Form 1099, will apply to dividends in respect of ADSs and the proceeds from the sale, exchange or redemption of ADSs that are paid to a holder of ADSs within the United States (and in certain cases, outside the United States), unless such holder is an exempt recipient such as a corporation. Backup withholding (currently at a 24% rate) may apply to such payments if a holder of ADSs fails to provide a taxpayer identification number (generally on an IRS Form W-9) or certification of other exempt status or fails to report in full dividend and interest income.</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Backup withholding is not an additional tax. A U.S. Holder generally may obtain a refund of any amounts withheld under the backup withholding rules that exceed the U.S. Holder’s income tax liability by filing a refund claim with the IRS.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220"/>
          </w:cols>
          <w:pgMar w:left="240" w:top="460"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are offering ordinary shares represented by ADSs described in this prospectus through a number of underwriters. J.P. Morgan Securities LLC, BofA Securities, Inc., UBS Securities LLC and SVB Leerink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ADSs listed next to its name in the following table:</w:t>
      </w:r>
    </w:p>
    <w:p>
      <w:pPr>
        <w:spacing w:after="0" w:line="179"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58"/>
        </w:trPr>
        <w:tc>
          <w:tcPr>
            <w:tcW w:w="6340" w:type="dxa"/>
            <w:vAlign w:val="bottom"/>
            <w:gridSpan w:val="3"/>
            <w:vMerge w:val="continue"/>
          </w:tcPr>
          <w:p>
            <w:pPr>
              <w:spacing w:after="0"/>
              <w:rPr>
                <w:sz w:val="13"/>
                <w:szCs w:val="13"/>
                <w:color w:val="auto"/>
              </w:rPr>
            </w:pPr>
          </w:p>
        </w:tc>
        <w:tc>
          <w:tcPr>
            <w:tcW w:w="11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080" w:type="dxa"/>
            <w:vAlign w:val="bottom"/>
          </w:tcPr>
          <w:p>
            <w:pPr>
              <w:jc w:val="right"/>
              <w:spacing w:after="0"/>
              <w:rPr>
                <w:sz w:val="20"/>
                <w:szCs w:val="20"/>
                <w:color w:val="auto"/>
              </w:rPr>
            </w:pPr>
            <w:r>
              <w:rPr>
                <w:rFonts w:ascii="Arial" w:cs="Arial" w:eastAsia="Arial" w:hAnsi="Arial"/>
                <w:sz w:val="18"/>
                <w:szCs w:val="18"/>
                <w:color w:val="auto"/>
              </w:rPr>
              <w:t>2,800,000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SVB Leerink LLC</w:t>
            </w:r>
          </w:p>
        </w:tc>
        <w:tc>
          <w:tcPr>
            <w:tcW w:w="1080" w:type="dxa"/>
            <w:vAlign w:val="bottom"/>
          </w:tcPr>
          <w:p>
            <w:pPr>
              <w:jc w:val="right"/>
              <w:spacing w:after="0"/>
              <w:rPr>
                <w:sz w:val="20"/>
                <w:szCs w:val="20"/>
                <w:color w:val="auto"/>
              </w:rPr>
            </w:pPr>
            <w:r>
              <w:rPr>
                <w:rFonts w:ascii="Arial" w:cs="Arial" w:eastAsia="Arial" w:hAnsi="Arial"/>
                <w:sz w:val="18"/>
                <w:szCs w:val="18"/>
                <w:color w:val="auto"/>
              </w:rPr>
              <w:t>1,200,000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Bryan, Garnier &amp; Co. Limited</w:t>
            </w:r>
          </w:p>
        </w:tc>
        <w:tc>
          <w:tcPr>
            <w:tcW w:w="108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Berenberg Capital Markets LLC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WR Securities, LLC</w:t>
            </w: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Kempen &amp; Co U.S.A., Inc.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Mirae Asset Securities (HK) Limited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underwriters are committed to purchase all the ADSs offered by us if they purchase any ADSs. The underwriting agreement also provides that if an underwriter defaults, the purchase commitments of non-defaulting underwriters may also be increased or the offering may be terminated.</w:t>
      </w:r>
    </w:p>
    <w:p>
      <w:pPr>
        <w:spacing w:after="0" w:line="12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Mirae Asset Securities (HK) Limited is not registered as a broker-dealer under the Exchange Act and will not engage in any offers or sales of our ADSs within the United States or to U.S. persons except to the extent permitted by Rule 15a-6 under the Exchange Act (and applicable SEC interpretive guidance issued in connection therewith) and other applicable securities laws.</w:t>
      </w:r>
    </w:p>
    <w:p>
      <w:pPr>
        <w:spacing w:after="0" w:line="18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underwriters propose to offer the ADSs directly to the public at the initial public offering price set forth on the cover page of this prospectus and to certain dealers at that price less a concession not in excess of $0.5400 per ADS. After the initial offering of the ADSs to the public, if all of the ADSs are not sold at the initial public offering price, the underwriters may change the offering price and the other selling terms. Sales of ADSs made outside of the United States may be made by affiliates of the underwriters.</w:t>
      </w:r>
    </w:p>
    <w:p>
      <w:pPr>
        <w:spacing w:after="0" w:line="18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underwriters have an option to buy up to 1,500,000 additional ADSs from us to cover sales of ADSs by the underwriters which exceed the number of ADSs specified in the table above. The underwriters have 30 days from the date of this prospectus to exercise this option to purchase additional ADSs. If any ADSs are purchased with this option to purchase additional ADSs, the underwriters will purchase ADSs in approximately the same proportion as shown in the table above. If any additional ADSs are purchased, the underwriters will offer the additional ADSs on the same terms as those on which the ADSs are being offered.</w:t>
      </w:r>
    </w:p>
    <w:p>
      <w:pPr>
        <w:spacing w:after="0" w:line="18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For reasons of German law, Joh. Berenberg, Gossler &amp; Co. KG will initially subscribe for all of the new ordinary shares represented by the ADSs on behalf of the underwriters, at an issue price of €1.00 per share. This issue price will be credited against the amount due from the underwriters at closing. If the underwriters exercise their option to purchase additional ADSs, unless we satisfy our obligation to sell such additional ADSs on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220"/>
          </w:cols>
          <w:pgMar w:left="24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basis of shares that we hold in treasury, Joh. Berenberg, Gossler &amp; Co. KG will initially subscribe for the new ordinary shares representing such additional ADSs on behalf of the underwriters, at an issue price of €1.00 per share. This issue price will be credited against the amount due from the underwriters at the option closing.</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underwriting fee is equal to the public offering price per ADS less the amount paid by the underwriters to us per ADS. The underwriting fee is $0.90 per ADS. The following table shows the per ADS and total underwriting discounts and commissions to be paid to the underwriters assuming both no exercise and full exercise of the underwriters’ option to purchase additional ADSs.</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360" w:type="dxa"/>
            <w:vAlign w:val="bottom"/>
            <w:gridSpan w:val="3"/>
          </w:tcPr>
          <w:p>
            <w:pPr>
              <w:jc w:val="center"/>
              <w:ind w:left="2099"/>
              <w:spacing w:after="0"/>
              <w:rPr>
                <w:sz w:val="20"/>
                <w:szCs w:val="20"/>
                <w:color w:val="auto"/>
              </w:rPr>
            </w:pPr>
            <w:r>
              <w:rPr>
                <w:rFonts w:ascii="Arial" w:cs="Arial" w:eastAsia="Arial" w:hAnsi="Arial"/>
                <w:sz w:val="14"/>
                <w:szCs w:val="14"/>
                <w:b w:val="1"/>
                <w:bCs w:val="1"/>
                <w:color w:val="auto"/>
                <w:w w:val="91"/>
              </w:rPr>
              <w:t>Without exercise of</w:t>
            </w:r>
          </w:p>
        </w:tc>
        <w:tc>
          <w:tcPr>
            <w:tcW w:w="2200" w:type="dxa"/>
            <w:vAlign w:val="bottom"/>
            <w:gridSpan w:val="4"/>
          </w:tcPr>
          <w:p>
            <w:pPr>
              <w:jc w:val="center"/>
              <w:ind w:left="779"/>
              <w:spacing w:after="0"/>
              <w:rPr>
                <w:sz w:val="20"/>
                <w:szCs w:val="20"/>
                <w:color w:val="auto"/>
              </w:rPr>
            </w:pPr>
            <w:r>
              <w:rPr>
                <w:rFonts w:ascii="Arial" w:cs="Arial" w:eastAsia="Arial" w:hAnsi="Arial"/>
                <w:sz w:val="14"/>
                <w:szCs w:val="14"/>
                <w:b w:val="1"/>
                <w:bCs w:val="1"/>
                <w:color w:val="auto"/>
                <w:w w:val="92"/>
              </w:rPr>
              <w:t>With full exercise of</w:t>
            </w: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option to purchase</w:t>
            </w:r>
          </w:p>
        </w:tc>
        <w:tc>
          <w:tcPr>
            <w:tcW w:w="920" w:type="dxa"/>
            <w:vAlign w:val="bottom"/>
          </w:tcPr>
          <w:p>
            <w:pPr>
              <w:spacing w:after="0"/>
              <w:rPr>
                <w:sz w:val="12"/>
                <w:szCs w:val="12"/>
                <w:color w:val="auto"/>
              </w:rPr>
            </w:pPr>
          </w:p>
        </w:tc>
        <w:tc>
          <w:tcPr>
            <w:tcW w:w="12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 to purchase</w:t>
            </w:r>
          </w:p>
        </w:tc>
      </w:tr>
      <w:tr>
        <w:trPr>
          <w:trHeight w:val="17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additional ADSs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additional ADSs</w:t>
            </w:r>
          </w:p>
        </w:tc>
      </w:tr>
      <w:tr>
        <w:trPr>
          <w:trHeight w:val="210"/>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ADS</w:t>
            </w:r>
          </w:p>
        </w:tc>
        <w:tc>
          <w:tcPr>
            <w:tcW w:w="2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10,350,000</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$4,697,100. We have agreed to reimburse the underwriters for expenses of up to $40,000 related to clearance of this offering with FINRA, and the underwriters have agreed to reimburse us for certain of our expenses.</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ordinary shares or ADSs or securities convertible into or exchangeable or exercisable for any of our ordinary shares or ADSs, or publicly disclose the intention to undertake any of the foregoing, or (ii) enter into any swap or other agreement that transfers, in whole or in part, any of the economic consequences of ownership of any ADSs, ordinary shares or any such other securities (regardless of whether any of the transactions described in clause (i) or (ii) above is to be settled by the delivery of ADSs, ordinary shares or such other securities, in cash or otherwise), without the prior written consent of J.P. Morgan Securities LLC and BofA Securities Inc. for a period of 180 days after the date of this prospectus, other than (A) the ADSs to be sold hereunder, (B) any of our ordinary shares or ADSs issued upon the exercise of options granted under our existing share-based compensation plans, (C) the filing by us of any registration statement on Form S-8 or a successor form thereto relating to a company share plan and (D) any ADSs or other securities issued in connection with a transaction with an unaffiliated third party that includes a bona fide commercial relationship (including joint ventures, marketing or distribution arrangements, collaboration agreements or licensing agreements) or any acquisition of assets of not less than a majority or controlling portion of the equity of another entity, provided that the aggregate number of the shares issued pursuant to this clause (D) shall not exceed more than five percent (5%) of the total number of outstanding ordinary shares immediately following the issuance and sale of the ADSs hereunder.</w:t>
      </w:r>
    </w:p>
    <w:p>
      <w:pPr>
        <w:spacing w:after="0" w:line="18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directors and executive officers, and substantially all of our shareholders,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and BofA Securities, Inc., (1) offer, pledge, sell, contract to sell, sell any option or contract to purchase, purchase any option or contract to sell, grant any option,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220"/>
          </w:cols>
          <w:pgMar w:left="24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right or warrant to purchase, lend, or otherwise transfer or dispose of, directly or indirectly, any of our ordinary shares or ADSs or any securities convertible into or exercisable or exchangeable for our ordinary shares (including, without limitation, ordinary shares, ADSs, restricted shares, share options or such other securities which may be deemed to be beneficially owned by such directors, executive officers, and shareholders in accordance with the rules and regulations of the SEC and securities which may be issued upon exercise of a stock option or warrant), or publicly disclose the intention to undertake any of the foregoing, (2) enter into any swap or other agreement that transfers, in whole or in part, any of the economic consequences of ownership of the ADSs, ordinary shares or such other securities, whether any such transaction described in clause (1) or (2) above is to be settled by delivery of ADSs, ordinary shares or such other securities, in cash or otherwise, or (3) make any demand for or exercise any right with respect to the registration of any of our ordinary shares or ADSs or any security convertible into or exercisable or exchangeable for ADSs or ordinary shares.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Notwithstanding the foregoing, the terms of the lock-up agreements do not apply to or prohibit, among others, the items described below:</w:t>
      </w:r>
    </w:p>
    <w:p>
      <w:pPr>
        <w:spacing w:after="0" w:line="131" w:lineRule="exact"/>
        <w:rPr>
          <w:sz w:val="20"/>
          <w:szCs w:val="20"/>
          <w:color w:val="auto"/>
        </w:rPr>
      </w:pPr>
    </w:p>
    <w:p>
      <w:pPr>
        <w:ind w:left="1180" w:right="20" w:hanging="436"/>
        <w:spacing w:after="0" w:line="259" w:lineRule="auto"/>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transactions relating to our ordinary shares or ADSs acquired in this initial public offering or open market transactions on or after the date of this prospectus, provided that no filing by any party (donor, donee, transferor or transferee) under the Exchange Act (or the equivalent thereof in non-U.S. jurisdictions) (other than a filing on a Schedule 13F or 13G) or other public announcement shall be required or shall be made voluntarily;</w:t>
      </w:r>
    </w:p>
    <w:p>
      <w:pPr>
        <w:spacing w:after="0" w:line="92"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exercise of a warrant or the exercise of a stock option granted under an existing or future stock incentive plan for our ordinary shares or ADSs through a “cashless” exercise;</w:t>
      </w:r>
    </w:p>
    <w:p>
      <w:pPr>
        <w:spacing w:after="0" w:line="75" w:lineRule="exact"/>
        <w:rPr>
          <w:rFonts w:ascii="Arial" w:cs="Arial" w:eastAsia="Arial" w:hAnsi="Arial"/>
          <w:sz w:val="18"/>
          <w:szCs w:val="18"/>
          <w:color w:val="auto"/>
        </w:rPr>
      </w:pPr>
    </w:p>
    <w:p>
      <w:pPr>
        <w:ind w:left="1180" w:hanging="436"/>
        <w:spacing w:after="0" w:line="255" w:lineRule="auto"/>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transfers or dispositions of our ordinary shares or ADSs in connection with the conversion of any security convertible or exercisable into securities in accordance with their terms (including the settlement of restricted stock units), provided that any such ordinary shares or ADSs received by such party shall be subject to the lock-up restrictions, and provided, further,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was made solely to us in connection with a conversion;</w:t>
      </w:r>
    </w:p>
    <w:p>
      <w:pPr>
        <w:spacing w:after="0" w:line="98" w:lineRule="exact"/>
        <w:rPr>
          <w:rFonts w:ascii="Arial" w:cs="Arial" w:eastAsia="Arial" w:hAnsi="Arial"/>
          <w:sz w:val="18"/>
          <w:szCs w:val="18"/>
          <w:color w:val="auto"/>
        </w:rPr>
      </w:pPr>
    </w:p>
    <w:p>
      <w:pPr>
        <w:ind w:left="1180" w:right="80" w:hanging="436"/>
        <w:spacing w:after="0" w:line="297" w:lineRule="auto"/>
        <w:tabs>
          <w:tab w:leader="none" w:pos="11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transfers or dispositions of our ordinary shares or ADSs pursuant to (i) any outstanding equity award or any current or future employee benefit plan or (ii) any contractual arrangement that provides for the repurchase of the party subject to the lock-up restrictions or a right of first refusal with respect to transfers of such ordinary shares or ADSs, provided that no public announcement or voluntary filing shall be made and if a filing by any party (donor, donee, transferor or transferee) under the Exchange Act (or the equivalent thereof in non-U.S. jurisdictions) is required to be made, such filing shall indicate that any disposition of ordinary shares or ADSs was made solely to us;</w:t>
      </w:r>
    </w:p>
    <w:p>
      <w:pPr>
        <w:spacing w:after="0" w:line="63" w:lineRule="exact"/>
        <w:rPr>
          <w:rFonts w:ascii="Arial" w:cs="Arial" w:eastAsia="Arial" w:hAnsi="Arial"/>
          <w:sz w:val="16"/>
          <w:szCs w:val="16"/>
          <w:color w:val="auto"/>
        </w:rPr>
      </w:pPr>
    </w:p>
    <w:p>
      <w:pPr>
        <w:ind w:left="1180" w:hanging="436"/>
        <w:spacing w:after="0" w:line="259" w:lineRule="auto"/>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ordinary shares or ADSs, provided that (i) such plan does not provide for the transfer of our ordinary shares and ADSs during the lock-up period and (ii) the entry into such plan is not publicly disclosed, included in any filings under the Exchange Act (or the equivalent thereof in non-U.S. jurisdictions) or otherwise, during the lock-up period; and</w:t>
      </w:r>
    </w:p>
    <w:p>
      <w:pPr>
        <w:spacing w:after="0" w:line="92" w:lineRule="exact"/>
        <w:rPr>
          <w:rFonts w:ascii="Arial" w:cs="Arial" w:eastAsia="Arial" w:hAnsi="Arial"/>
          <w:sz w:val="18"/>
          <w:szCs w:val="18"/>
          <w:color w:val="auto"/>
        </w:rPr>
      </w:pPr>
    </w:p>
    <w:p>
      <w:pPr>
        <w:ind w:left="1180" w:right="20" w:hanging="436"/>
        <w:spacing w:after="0" w:line="259" w:lineRule="auto"/>
        <w:tabs>
          <w:tab w:leader="none" w:pos="11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pursuant to a bona fide third-party tender offer for all our outstanding ordinary shares or ADSs, merger, consolidation or other similar transaction approved by our Supervisory Board and made to all holders of our ordinary shares or ADSs involving a change of control (including, without limitation, the entering into of any lock-up, voting or similar agreement pursuant to which the party subject to the lock-up restrictions may agree to transfer, sell, tender or otherwise dispose of our ordinary shares or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200"/>
          </w:cols>
          <w:pgMar w:left="240" w:top="460"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0"/>
        <w:spacing w:after="0" w:line="264" w:lineRule="auto"/>
        <w:rPr>
          <w:sz w:val="20"/>
          <w:szCs w:val="20"/>
          <w:color w:val="auto"/>
        </w:rPr>
      </w:pPr>
      <w:r>
        <w:rPr>
          <w:rFonts w:ascii="Arial" w:cs="Arial" w:eastAsia="Arial" w:hAnsi="Arial"/>
          <w:sz w:val="18"/>
          <w:szCs w:val="18"/>
          <w:color w:val="auto"/>
        </w:rPr>
        <w:t>ADSs in connection with such transaction, or vote any ordinary shares or ADSs in favor of any such transaction), provided that in the event that such tender offer, merger, consolidation or other such transaction is not completed, such ordinary shares or ADSs shall remain subject to the lock-up restrictions.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addition, pursuant to the terms of our share options, holders of share options are restricted from exercising such share options for a period of at least one year following our initial public offering without our consent. We have agreed not to waive this restriction for a period of at least 180 days following the date of this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ADSs representing our ordinary shares are listed on the Nasdaq Global Select Market under the symbol “BNTX.”</w:t>
      </w:r>
    </w:p>
    <w:p>
      <w:pPr>
        <w:spacing w:after="0" w:line="22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ADSs in the open market for the purpose of preventing or retarding a decline in the market price of the ADSs while this offering is in progress. These stabilizing transactions may include making short sales of the ADSs, which involves the sale by the underwriters of a greater number of ADSs than they are required to purchase in this offering, and purchasing ADSs on the open market to cover positions created by short sales. Short sales may be “covered” shorts, which are short positions in an amount not greater than the underwriters’ option to purchase additional ADSs referred to above, or may be “naked” shorts, which are short positions in excess of that amount. The underwriters may close out any covered short position either by exercising their option to purchase additional ADSs, in whole or in part, or by purchasing ADSs in the open market. In making this determination, the underwriters will consider, among other things, the price of ADSs available for purchase in the open market compared to the price at which the underwriters may purchase ADSs through the option to purchase additional ADSs. A naked short position is more likely to be created if the underwriters are concerned that there may be downward pressure on the price of the ADSs in the open market that could adversely affect investors who purchase in this offering. To the extent that the underwriters create a naked short position, they will purchase ADSs in the open market to cover the position.</w:t>
      </w:r>
    </w:p>
    <w:p>
      <w:pPr>
        <w:spacing w:after="0" w:line="173"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ADSs, including the imposition of penalty bids. This means that if the representatives of the underwriters purchase ADSs in the open market in stabilizing transactions or to cover short sales, the representatives can require the underwriters that sold those shares as part of this offering to repay the underwriting discount received by them.</w:t>
      </w:r>
    </w:p>
    <w:p>
      <w:pPr>
        <w:spacing w:after="0" w:line="17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ADSs or preventing or retarding a decline in the market price of the ADSs, and, as a result, the price of the ADSs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Prior to this offering, there has been no public market for the ADSs 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7" w:lineRule="exact"/>
        <w:rPr>
          <w:sz w:val="20"/>
          <w:szCs w:val="20"/>
          <w:color w:val="auto"/>
        </w:rPr>
      </w:pPr>
    </w:p>
    <w:p>
      <w:pPr>
        <w:ind w:left="5580" w:right="3620" w:hanging="4836"/>
        <w:spacing w:after="0" w:line="449" w:lineRule="auto"/>
        <w:tabs>
          <w:tab w:leader="none" w:pos="117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 305</w:t>
      </w:r>
    </w:p>
    <w:p>
      <w:pPr>
        <w:sectPr>
          <w:pgSz w:w="11900" w:h="16838" w:orient="portrait"/>
          <w:cols w:equalWidth="0" w:num="1">
            <w:col w:w="11220"/>
          </w:cols>
          <w:pgMar w:left="24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in the United States for the ADSs, or that the ADSs will trade in the public market at or above the initial public offering price.</w:t>
      </w:r>
    </w:p>
    <w:p>
      <w:pPr>
        <w:spacing w:after="0" w:line="17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Certain of the underwriters and their affiliates have, in the past, provided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 offer of ordinary shares or ADSs may be made to the public in any member state of the European Economic Area, or an EEA Member State, other than:</w:t>
      </w:r>
    </w:p>
    <w:p>
      <w:pPr>
        <w:spacing w:after="0" w:line="76" w:lineRule="exact"/>
        <w:rPr>
          <w:sz w:val="20"/>
          <w:szCs w:val="20"/>
          <w:color w:val="auto"/>
        </w:rPr>
      </w:pPr>
    </w:p>
    <w:p>
      <w:pPr>
        <w:ind w:left="1620" w:right="60" w:hanging="430"/>
        <w:spacing w:after="0" w:line="264" w:lineRule="auto"/>
        <w:tabs>
          <w:tab w:leader="none" w:pos="16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Regulation (EU) 2017/1129 on the prospectus to be published when securities are offered to the public or admitted to trading on a regulated market and repealing Directive 2003/71/EC, or the Prospectus Regulation;</w:t>
      </w:r>
    </w:p>
    <w:p>
      <w:pPr>
        <w:spacing w:after="0" w:line="86" w:lineRule="exact"/>
        <w:rPr>
          <w:rFonts w:ascii="Arial" w:cs="Arial" w:eastAsia="Arial" w:hAnsi="Arial"/>
          <w:sz w:val="18"/>
          <w:szCs w:val="18"/>
          <w:color w:val="auto"/>
        </w:rPr>
      </w:pPr>
    </w:p>
    <w:p>
      <w:pPr>
        <w:jc w:val="both"/>
        <w:ind w:left="1620" w:right="580" w:hanging="430"/>
        <w:spacing w:after="0" w:line="264" w:lineRule="auto"/>
        <w:tabs>
          <w:tab w:leader="none" w:pos="16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fewer than 150 natural or legal persons per EEA Member State (other than qualified investors as defined in the Prospectus Regulation), as permitted under the Prospectus Regulation, subject to obtaining the prior consent of the representatives of the underwriters for any such offer; or</w:t>
      </w:r>
    </w:p>
    <w:p>
      <w:pPr>
        <w:spacing w:after="0" w:line="86" w:lineRule="exact"/>
        <w:rPr>
          <w:rFonts w:ascii="Arial" w:cs="Arial" w:eastAsia="Arial" w:hAnsi="Arial"/>
          <w:sz w:val="18"/>
          <w:szCs w:val="18"/>
          <w:color w:val="auto"/>
        </w:rPr>
      </w:pPr>
    </w:p>
    <w:p>
      <w:pPr>
        <w:ind w:left="1620" w:hanging="430"/>
        <w:spacing w:after="0"/>
        <w:tabs>
          <w:tab w:leader="none" w:pos="16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provided that no such offer of ordinary shares or ADSs shall require the Company or the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Each person in an EEA Member State who initially acquires any ADSs or to whom any offer is made will be deemed to have represented, acknowledged and agreed that it is a “qualified investor” as defined in Article 2(e) of the Prospectus Regulation. In the case of any ADSs being offered to a financial intermediary as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220"/>
          </w:cols>
          <w:pgMar w:left="240" w:top="459" w:right="4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that term is used in Article 5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an EEA Member State to qualified investors as so defined or in circumstances in which the prior consent of the representatives has been obtained to each such proposed offer or resale.</w:t>
      </w:r>
    </w:p>
    <w:p>
      <w:pPr>
        <w:spacing w:after="0" w:line="18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This prospectus has been prepared on the basis that any offer of ordinary shares or ADSs in any EEA Member State will be made pursuant to an exemption under the Prospectus Regulation from the requirement to publish a prospectus for offers of securities. Accordingly any person making or intending to make an offer in an EEA Member State of ADSs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the Company nor the underwriters have authorized, nor do they authorize, the making of any offer of ordinary shares or ADSs in circumstances in which an obligation arises for the Company or the underwriters to publish a prospectus for such offer.</w:t>
      </w:r>
    </w:p>
    <w:p>
      <w:pPr>
        <w:spacing w:after="0" w:line="16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For the purpose of the above provisions, the expression “an offer to the public” in relation to any ordinary shares or ADSs in any EEA Member State means a communication to persons in any form and by any means, presenting sufficient information on the terms of the offer and the ordinary shares or ADSs to be offered, so as to enable an investor to decide to purchase or subscribe for the ordinary shares or ADSs, including any placing of ordinary shares or ADSs through financial intermediaries.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w:t>
      </w:r>
    </w:p>
    <w:p>
      <w:pPr>
        <w:spacing w:after="0" w:line="17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a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307</w:t>
      </w:r>
    </w:p>
    <w:p>
      <w:pPr>
        <w:sectPr>
          <w:pgSz w:w="11900" w:h="16838" w:orient="portrait"/>
          <w:cols w:equalWidth="0" w:num="1">
            <w:col w:w="11120"/>
          </w:cols>
          <w:pgMar w:left="240" w:top="459" w:right="5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this offering, may be publicly distributed or otherwise made publicly available in Switzerland. Neither this document nor any other offering or marketing material relating to this offering, the Company or the ADSs has been or will be filed with or approved by any Swiss regulatory authority. In particular, this document will not be filed with, and the offer of the ADSs will not be supervised by, the Swiss Financial Market Supervisory Authority, or FINMA, and the offer of the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ADSs may not be offered or sold by means of any document other than (i) in circumstances that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that are or are intended to be disposed of only to persons outside Hong Kong or only to “professional investors” within the meaning of the Securities and Futures Ordinance (Cap. 571, Laws of Hong Kong) and any rules made thereunder.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in this prospectus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180"/>
          </w:cols>
          <w:pgMar w:left="240" w:top="459" w:right="47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180" w:right="80" w:hanging="436"/>
        <w:spacing w:after="0" w:line="308" w:lineRule="auto"/>
        <w:tabs>
          <w:tab w:leader="none" w:pos="118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180" w:right="300" w:hanging="436"/>
        <w:spacing w:after="0" w:line="277" w:lineRule="auto"/>
        <w:tabs>
          <w:tab w:leader="none" w:pos="11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200" w:right="16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7" w:lineRule="exact"/>
        <w:rPr>
          <w:sz w:val="20"/>
          <w:szCs w:val="20"/>
          <w:color w:val="auto"/>
        </w:rPr>
      </w:pPr>
    </w:p>
    <w:p>
      <w:pPr>
        <w:ind w:left="1180" w:hanging="436"/>
        <w:spacing w:after="0" w:line="277" w:lineRule="auto"/>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180" w:right="780" w:hanging="436"/>
        <w:spacing w:after="0" w:line="277" w:lineRule="auto"/>
        <w:tabs>
          <w:tab w:leader="none" w:pos="11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This document does not constitute a prospectus under the Israeli Securities Law, 5728-1968, and has not been filed with or approved by the Israel Securities Authority. In Israel, this prospectus is being distributed only to, and is directed only at, and any offer of the ADSs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200"/>
          </w:cols>
          <w:pgMar w:left="240" w:top="460"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The following table sets forth the total costs and expenses, other than underwriting discounts and commissions, that we expect to incur in connection with the offer and sale of our ADSs. With the exception of the SEC registration fee and the FINRA filing fee, all of these amounts are estimates: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542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Securities and Exchange Commission registration fee</w:t>
            </w:r>
          </w:p>
        </w:tc>
        <w:tc>
          <w:tcPr>
            <w:tcW w:w="5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295,000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c>
          <w:tcPr>
            <w:tcW w:w="54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4,697,100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20" w:type="dxa"/>
            <w:vAlign w:val="bottom"/>
            <w:vMerge w:val="restart"/>
          </w:tcPr>
          <w:p>
            <w:pPr>
              <w:jc w:val="right"/>
              <w:ind w:right="4310"/>
              <w:spacing w:after="0"/>
              <w:rPr>
                <w:sz w:val="20"/>
                <w:szCs w:val="20"/>
                <w:color w:val="auto"/>
              </w:rPr>
            </w:pPr>
            <w:r>
              <w:rPr>
                <w:rFonts w:ascii="Arial" w:cs="Arial" w:eastAsia="Arial" w:hAnsi="Arial"/>
                <w:sz w:val="18"/>
                <w:szCs w:val="18"/>
                <w:color w:val="auto"/>
              </w:rPr>
              <w:t>310</w:t>
            </w: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validity of the ordinary shares and certain other matters of German law will be passed upon for us by Freshfields Bruckhaus Deringer LLP, Hamburg, Germany. Certain matters of U.S. law will be passed upon for us by Covington &amp; Burling LLP, New York, New York. Legal counsel to the underwriters in connection with the offering are Skadden, Arps, Slate, Meagher &amp; Flom LLP, Frankfurt, Germany with respect to German law and Davis Polk &amp; Wardwell LLP, New York, New York with respect to U.S. law.</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CHANGE IN ACCOUNTANTS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In 2018, we dismissed Baker Tilly GmbH &amp; Co. KG Wirtschaftsprüfungsgesellschaft, or Baker Tilly, as our independent auditors and retained Ernst &amp; Young GmbH Wirtschaftsprüfungsgesellschaft, or EY, as our independent public accounting firm. Our Supervisory Board approved the decision to change independent auditors. We had no disagreements with Baker Tilly on any matter of accounting principles or practices, financial statements disclosure, or auditing scope of procedures during our two most recent fiscal years prior to our change in independent auditors, which, if not resolved to the satisfaction of Baker Tilly, would have caused them to make reference to the matter in their report.</w:t>
      </w: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consolidated financial statements of BioNTech SE as of December 31, 2018 and 2017 and for each of the years in the two-year period ended December 31, 2018 have been included herein in reliance upon the report of Ernst &amp; Young GmbH Wirtschaftsprüfungsgesellschaft, independent registered public accounting firm, as set forth in their report thereon appearing elsewhere herein, and are included in reliance upon such report given on the authority of said firm as experts in accounting and auditing. The registered business address of Ernst &amp; Young GmbH Wirtschaftsprüfungsgesellschaft is Börsenplatz 1, 50667 Cologne, Germany.</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are incorporated and currently existing under European laws and the laws of the Federal Republic of Germany. In addition, all of our directors and officers reside outside of the United States and our assets and those of our non-U.S. subsidiaries are located outside of the United States. As a result, it may not be possible for investors to effect service of process on us or those persons in the United States or to enforce in the United States judgments obtained in U.S. courts against us or those persons based on the civil liability or other provisions of the U.S. securities laws or other laws.</w:t>
      </w:r>
    </w:p>
    <w:p>
      <w:pPr>
        <w:spacing w:after="0" w:line="154"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Awards of punitive damages in actions brought in the United States or elsewhere may be unenforceable in Germany. In addition, actions brought in a German court against BioNTech or the members of our supervisory Board and Management Board, our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w:t>
      </w:r>
    </w:p>
    <w:p>
      <w:pPr>
        <w:spacing w:after="0" w:line="178"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220"/>
          </w:cols>
          <w:pgMar w:left="24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may be difficult for a U.S. investor to bring an original action in a German court predicated upon the civil liability provisions of the U.S. federal securities laws against us, certain members of our Management and Supervisory Boards and senior management and the experts named in this 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our company, the members of our Management Board, Supervisory Board, senior management or the experts named in this prospectus based on the civil liability provisions of the U.S. federal securities laws is obtained, a U.S. investor may not be able to enforce it in U.S. or German courts.</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We have filed with the SEC a registration statement on Form F-1 under the Securities Act relating to this offering of the ADSs. This prospectus, which constitutes part of the registration statement, does not include all of the information contained in the registration statement and the exhibits, schedules and amendments to the registration statement. For further information with respect to us and our ordinary shares and the ADSs, we refer you to the registration statement and the exhibits and schedules to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 any of these documents as an exhibit to the registration statement, we refer you to the copy of the document that has been filed for a complete description of its terms. Each statement in this prospectus relating to a document filed as an exhibit is qualified in all respects by the filed exhibit.</w:t>
      </w:r>
    </w:p>
    <w:p>
      <w:pPr>
        <w:spacing w:after="0" w:line="179"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Upon completion of this offering, we will become subject to the information reporting requirements of the Exchange Act that are applicable to foreign private issuers. Accordingly, we will be required to file reports and other information with the SEC, including annual reports on Form 20-F and reports on Form 6-K. Our filings with the SEC are available to the public through the SEC’s website at http://www.sec.gov.</w:t>
      </w:r>
    </w:p>
    <w:p>
      <w:pPr>
        <w:spacing w:after="0" w:line="166"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54"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71"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We maintain a corporate website at https://www.biontech.de. Information contained on, or that can be accessed through, our website does not constitute a part of this prospectus and our website address is included in this prospectus as an inactive textual reference only.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200"/>
          </w:cols>
          <w:pgMar w:left="240" w:top="459" w:right="45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890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r>
      <w:tr>
        <w:trPr>
          <w:trHeight w:val="534"/>
        </w:trPr>
        <w:tc>
          <w:tcPr>
            <w:tcW w:w="20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Arial" w:cs="Arial" w:eastAsia="Arial" w:hAnsi="Arial"/>
                <w:sz w:val="18"/>
                <w:szCs w:val="18"/>
                <w:b w:val="1"/>
                <w:bCs w:val="1"/>
                <w:color w:val="auto"/>
              </w:rPr>
              <w:t>Index to Financial Statements</w:t>
            </w:r>
          </w:p>
        </w:tc>
        <w:tc>
          <w:tcPr>
            <w:tcW w:w="92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17">
              <w:r>
                <w:rPr>
                  <w:rFonts w:ascii="Arial" w:cs="Arial" w:eastAsia="Arial" w:hAnsi="Arial"/>
                  <w:sz w:val="18"/>
                  <w:szCs w:val="18"/>
                  <w:b w:val="1"/>
                  <w:bCs w:val="1"/>
                  <w:color w:val="0000EE"/>
                </w:rPr>
                <w:t>Interim condensed consolidated statements of operations for the six months ended June 30, 2019 and 2018</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F-2</w:t>
            </w:r>
          </w:p>
        </w:tc>
      </w:tr>
      <w:tr>
        <w:trPr>
          <w:trHeight w:val="20"/>
        </w:trPr>
        <w:tc>
          <w:tcPr>
            <w:tcW w:w="2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w w:val="93"/>
              </w:rPr>
            </w:pPr>
            <w:hyperlink w:anchor="page318">
              <w:r>
                <w:rPr>
                  <w:rFonts w:ascii="Arial" w:cs="Arial" w:eastAsia="Arial" w:hAnsi="Arial"/>
                  <w:sz w:val="18"/>
                  <w:szCs w:val="18"/>
                  <w:b w:val="1"/>
                  <w:bCs w:val="1"/>
                  <w:color w:val="0000EE"/>
                  <w:w w:val="93"/>
                </w:rPr>
                <w:t>Interim condensed consolidated statements of comprehensive income (loss) for the six months ended June 30, 2019 and 2018</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F-3</w:t>
            </w:r>
          </w:p>
        </w:tc>
      </w:tr>
      <w:tr>
        <w:trPr>
          <w:trHeight w:val="304"/>
        </w:trPr>
        <w:tc>
          <w:tcPr>
            <w:tcW w:w="200" w:type="dxa"/>
            <w:vAlign w:val="bottom"/>
          </w:tcPr>
          <w:p>
            <w:pPr>
              <w:spacing w:after="0"/>
              <w:rPr>
                <w:sz w:val="24"/>
                <w:szCs w:val="24"/>
                <w:color w:val="auto"/>
              </w:rPr>
            </w:pPr>
          </w:p>
        </w:tc>
        <w:tc>
          <w:tcPr>
            <w:tcW w:w="820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8"/>
              </w:rPr>
            </w:pPr>
            <w:hyperlink w:anchor="page319">
              <w:r>
                <w:rPr>
                  <w:rFonts w:ascii="Arial" w:cs="Arial" w:eastAsia="Arial" w:hAnsi="Arial"/>
                  <w:sz w:val="18"/>
                  <w:szCs w:val="18"/>
                  <w:b w:val="1"/>
                  <w:bCs w:val="1"/>
                  <w:color w:val="0000EE"/>
                  <w:w w:val="88"/>
                </w:rPr>
                <w:t>Interim condensed consolidated statements of financial position as of June 30, 2019 and December 31, 2018</w:t>
              </w:r>
            </w:hyperlink>
          </w:p>
        </w:tc>
        <w:tc>
          <w:tcPr>
            <w:tcW w:w="13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F-4</w:t>
            </w: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20">
              <w:r>
                <w:rPr>
                  <w:rFonts w:ascii="Arial" w:cs="Arial" w:eastAsia="Arial" w:hAnsi="Arial"/>
                  <w:sz w:val="18"/>
                  <w:szCs w:val="18"/>
                  <w:b w:val="1"/>
                  <w:bCs w:val="1"/>
                  <w:color w:val="0000EE"/>
                </w:rPr>
                <w:t>Interim condensed consolidated statements of changes in equity as of June 30, 2019 and December 31, 2018</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F-5</w:t>
            </w:r>
          </w:p>
        </w:tc>
      </w:tr>
      <w:tr>
        <w:trPr>
          <w:trHeight w:val="304"/>
        </w:trPr>
        <w:tc>
          <w:tcPr>
            <w:tcW w:w="200" w:type="dxa"/>
            <w:vAlign w:val="bottom"/>
          </w:tcPr>
          <w:p>
            <w:pPr>
              <w:spacing w:after="0"/>
              <w:rPr>
                <w:sz w:val="24"/>
                <w:szCs w:val="24"/>
                <w:color w:val="auto"/>
              </w:rPr>
            </w:pPr>
          </w:p>
        </w:tc>
        <w:tc>
          <w:tcPr>
            <w:tcW w:w="812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w w:val="87"/>
              </w:rPr>
            </w:pPr>
            <w:hyperlink w:anchor="page321">
              <w:r>
                <w:rPr>
                  <w:rFonts w:ascii="Arial" w:cs="Arial" w:eastAsia="Arial" w:hAnsi="Arial"/>
                  <w:sz w:val="18"/>
                  <w:szCs w:val="18"/>
                  <w:b w:val="1"/>
                  <w:bCs w:val="1"/>
                  <w:color w:val="0000EE"/>
                  <w:w w:val="87"/>
                </w:rPr>
                <w:t>Interim condensed consolidated statements of cash flows for the six months ended June 30, 2019 and 2018</w:t>
              </w:r>
            </w:hyperlink>
          </w:p>
        </w:tc>
        <w:tc>
          <w:tcPr>
            <w:tcW w:w="80" w:type="dxa"/>
            <w:vAlign w:val="bottom"/>
            <w:tcBorders>
              <w:top w:val="single" w:sz="8" w:color="0000EE"/>
            </w:tcBorders>
          </w:tcPr>
          <w:p>
            <w:pPr>
              <w:spacing w:after="0"/>
              <w:rPr>
                <w:sz w:val="24"/>
                <w:szCs w:val="24"/>
                <w:color w:val="auto"/>
              </w:rPr>
            </w:pPr>
          </w:p>
        </w:tc>
        <w:tc>
          <w:tcPr>
            <w:tcW w:w="186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F-6</w:t>
            </w:r>
          </w:p>
        </w:tc>
      </w:tr>
      <w:tr>
        <w:trPr>
          <w:trHeight w:val="304"/>
        </w:trPr>
        <w:tc>
          <w:tcPr>
            <w:tcW w:w="200" w:type="dxa"/>
            <w:vAlign w:val="bottom"/>
          </w:tcPr>
          <w:p>
            <w:pPr>
              <w:spacing w:after="0"/>
              <w:rPr>
                <w:sz w:val="24"/>
                <w:szCs w:val="24"/>
                <w:color w:val="auto"/>
              </w:rPr>
            </w:pPr>
          </w:p>
        </w:tc>
        <w:tc>
          <w:tcPr>
            <w:tcW w:w="5740" w:type="dxa"/>
            <w:vAlign w:val="bottom"/>
            <w:tcBorders>
              <w:bottom w:val="single" w:sz="8" w:color="0000EE"/>
            </w:tcBorders>
            <w:gridSpan w:val="4"/>
          </w:tcPr>
          <w:p>
            <w:pPr>
              <w:spacing w:after="0"/>
              <w:rPr>
                <w:rFonts w:ascii="Arial" w:cs="Arial" w:eastAsia="Arial" w:hAnsi="Arial"/>
                <w:sz w:val="18"/>
                <w:szCs w:val="18"/>
                <w:b w:val="1"/>
                <w:bCs w:val="1"/>
                <w:color w:val="0000EE"/>
                <w:w w:val="89"/>
              </w:rPr>
            </w:pPr>
            <w:hyperlink w:anchor="page322">
              <w:r>
                <w:rPr>
                  <w:rFonts w:ascii="Arial" w:cs="Arial" w:eastAsia="Arial" w:hAnsi="Arial"/>
                  <w:sz w:val="18"/>
                  <w:szCs w:val="18"/>
                  <w:b w:val="1"/>
                  <w:bCs w:val="1"/>
                  <w:color w:val="0000EE"/>
                  <w:w w:val="89"/>
                </w:rPr>
                <w:t>Interim condensed explanatory notes to the unaudited financial statements</w:t>
              </w:r>
            </w:hyperlink>
          </w:p>
        </w:tc>
        <w:tc>
          <w:tcPr>
            <w:tcW w:w="43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F-7</w:t>
            </w:r>
          </w:p>
        </w:tc>
      </w:tr>
      <w:tr>
        <w:trPr>
          <w:trHeight w:val="304"/>
        </w:trPr>
        <w:tc>
          <w:tcPr>
            <w:tcW w:w="200" w:type="dxa"/>
            <w:vAlign w:val="bottom"/>
          </w:tcPr>
          <w:p>
            <w:pPr>
              <w:spacing w:after="0"/>
              <w:rPr>
                <w:sz w:val="24"/>
                <w:szCs w:val="24"/>
                <w:color w:val="auto"/>
              </w:rPr>
            </w:pPr>
          </w:p>
        </w:tc>
        <w:tc>
          <w:tcPr>
            <w:tcW w:w="4520" w:type="dxa"/>
            <w:vAlign w:val="bottom"/>
            <w:tcBorders>
              <w:bottom w:val="single" w:sz="8" w:color="0000EE"/>
            </w:tcBorders>
            <w:gridSpan w:val="3"/>
          </w:tcPr>
          <w:p>
            <w:pPr>
              <w:spacing w:after="0"/>
              <w:rPr>
                <w:rFonts w:ascii="Arial" w:cs="Arial" w:eastAsia="Arial" w:hAnsi="Arial"/>
                <w:sz w:val="18"/>
                <w:szCs w:val="18"/>
                <w:b w:val="1"/>
                <w:bCs w:val="1"/>
                <w:color w:val="0000EE"/>
                <w:w w:val="90"/>
              </w:rPr>
            </w:pPr>
            <w:hyperlink w:anchor="page330">
              <w:r>
                <w:rPr>
                  <w:rFonts w:ascii="Arial" w:cs="Arial" w:eastAsia="Arial" w:hAnsi="Arial"/>
                  <w:sz w:val="18"/>
                  <w:szCs w:val="18"/>
                  <w:b w:val="1"/>
                  <w:bCs w:val="1"/>
                  <w:color w:val="0000EE"/>
                  <w:w w:val="90"/>
                </w:rPr>
                <w:t>Report of Independent Registered Public Accounting Firm</w:t>
              </w:r>
            </w:hyperlink>
          </w:p>
        </w:tc>
        <w:tc>
          <w:tcPr>
            <w:tcW w:w="554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F-15</w:t>
            </w: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31">
              <w:r>
                <w:rPr>
                  <w:rFonts w:ascii="Arial" w:cs="Arial" w:eastAsia="Arial" w:hAnsi="Arial"/>
                  <w:sz w:val="18"/>
                  <w:szCs w:val="18"/>
                  <w:b w:val="1"/>
                  <w:bCs w:val="1"/>
                  <w:color w:val="0000EE"/>
                </w:rPr>
                <w:t>Consolidated statements of operations for the years ended December 31, 2018 and 2017</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F-16</w:t>
            </w:r>
          </w:p>
        </w:tc>
      </w:tr>
      <w:tr>
        <w:trPr>
          <w:trHeight w:val="20"/>
        </w:trPr>
        <w:tc>
          <w:tcPr>
            <w:tcW w:w="2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32">
              <w:r>
                <w:rPr>
                  <w:rFonts w:ascii="Arial" w:cs="Arial" w:eastAsia="Arial" w:hAnsi="Arial"/>
                  <w:sz w:val="18"/>
                  <w:szCs w:val="18"/>
                  <w:b w:val="1"/>
                  <w:bCs w:val="1"/>
                  <w:color w:val="0000EE"/>
                </w:rPr>
                <w:t>Consolidated statements of comprehensive income (loss) for the years ended December 31, 2018 and 2017</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F-17</w:t>
            </w:r>
          </w:p>
        </w:tc>
      </w:tr>
      <w:tr>
        <w:trPr>
          <w:trHeight w:val="304"/>
        </w:trPr>
        <w:tc>
          <w:tcPr>
            <w:tcW w:w="200" w:type="dxa"/>
            <w:vAlign w:val="bottom"/>
          </w:tcPr>
          <w:p>
            <w:pPr>
              <w:spacing w:after="0"/>
              <w:rPr>
                <w:sz w:val="24"/>
                <w:szCs w:val="24"/>
                <w:color w:val="auto"/>
              </w:rPr>
            </w:pPr>
          </w:p>
        </w:tc>
        <w:tc>
          <w:tcPr>
            <w:tcW w:w="588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w w:val="88"/>
              </w:rPr>
            </w:pPr>
            <w:hyperlink w:anchor="page333">
              <w:r>
                <w:rPr>
                  <w:rFonts w:ascii="Arial" w:cs="Arial" w:eastAsia="Arial" w:hAnsi="Arial"/>
                  <w:sz w:val="18"/>
                  <w:szCs w:val="18"/>
                  <w:b w:val="1"/>
                  <w:bCs w:val="1"/>
                  <w:color w:val="0000EE"/>
                  <w:w w:val="88"/>
                </w:rPr>
                <w:t>Consolidated statements of financial position at December 31, 2018 and 2017</w:t>
              </w:r>
            </w:hyperlink>
          </w:p>
        </w:tc>
        <w:tc>
          <w:tcPr>
            <w:tcW w:w="2180" w:type="dxa"/>
            <w:vAlign w:val="bottom"/>
            <w:tcBorders>
              <w:top w:val="single" w:sz="8" w:color="0000EE"/>
            </w:tcBorders>
            <w:gridSpan w:val="3"/>
          </w:tcPr>
          <w:p>
            <w:pPr>
              <w:spacing w:after="0"/>
              <w:rPr>
                <w:sz w:val="24"/>
                <w:szCs w:val="24"/>
                <w:color w:val="auto"/>
              </w:rPr>
            </w:pPr>
          </w:p>
        </w:tc>
        <w:tc>
          <w:tcPr>
            <w:tcW w:w="200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F-18</w:t>
            </w:r>
          </w:p>
        </w:tc>
      </w:tr>
      <w:tr>
        <w:trPr>
          <w:trHeight w:val="304"/>
        </w:trPr>
        <w:tc>
          <w:tcPr>
            <w:tcW w:w="200" w:type="dxa"/>
            <w:vAlign w:val="bottom"/>
          </w:tcPr>
          <w:p>
            <w:pPr>
              <w:spacing w:after="0"/>
              <w:rPr>
                <w:sz w:val="24"/>
                <w:szCs w:val="24"/>
                <w:color w:val="auto"/>
              </w:rPr>
            </w:pPr>
          </w:p>
        </w:tc>
        <w:tc>
          <w:tcPr>
            <w:tcW w:w="10060" w:type="dxa"/>
            <w:vAlign w:val="bottom"/>
            <w:gridSpan w:val="12"/>
          </w:tcPr>
          <w:p>
            <w:pPr>
              <w:spacing w:after="0"/>
              <w:rPr>
                <w:rFonts w:ascii="Arial" w:cs="Arial" w:eastAsia="Arial" w:hAnsi="Arial"/>
                <w:sz w:val="18"/>
                <w:szCs w:val="18"/>
                <w:b w:val="1"/>
                <w:bCs w:val="1"/>
                <w:color w:val="0000EE"/>
              </w:rPr>
            </w:pPr>
            <w:hyperlink w:anchor="page334">
              <w:r>
                <w:rPr>
                  <w:rFonts w:ascii="Arial" w:cs="Arial" w:eastAsia="Arial" w:hAnsi="Arial"/>
                  <w:sz w:val="18"/>
                  <w:szCs w:val="18"/>
                  <w:b w:val="1"/>
                  <w:bCs w:val="1"/>
                  <w:color w:val="0000EE"/>
                </w:rPr>
                <w:t>Consolidated statements of changes in equity for the years ended December 31, 2018 and 2017</w:t>
              </w:r>
            </w:hyperlink>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F-19</w:t>
            </w:r>
          </w:p>
        </w:tc>
      </w:tr>
      <w:tr>
        <w:trPr>
          <w:trHeight w:val="304"/>
        </w:trPr>
        <w:tc>
          <w:tcPr>
            <w:tcW w:w="200" w:type="dxa"/>
            <w:vAlign w:val="bottom"/>
          </w:tcPr>
          <w:p>
            <w:pPr>
              <w:spacing w:after="0"/>
              <w:rPr>
                <w:sz w:val="24"/>
                <w:szCs w:val="24"/>
                <w:color w:val="auto"/>
              </w:rPr>
            </w:pPr>
          </w:p>
        </w:tc>
        <w:tc>
          <w:tcPr>
            <w:tcW w:w="7200" w:type="dxa"/>
            <w:vAlign w:val="bottom"/>
            <w:tcBorders>
              <w:top w:val="single" w:sz="8" w:color="0000EE"/>
            </w:tcBorders>
            <w:gridSpan w:val="7"/>
          </w:tcPr>
          <w:p>
            <w:pPr>
              <w:spacing w:after="0"/>
              <w:rPr>
                <w:rFonts w:ascii="Arial" w:cs="Arial" w:eastAsia="Arial" w:hAnsi="Arial"/>
                <w:sz w:val="18"/>
                <w:szCs w:val="18"/>
                <w:b w:val="1"/>
                <w:bCs w:val="1"/>
                <w:color w:val="0000EE"/>
                <w:w w:val="95"/>
              </w:rPr>
            </w:pPr>
            <w:hyperlink w:anchor="page335">
              <w:r>
                <w:rPr>
                  <w:rFonts w:ascii="Arial" w:cs="Arial" w:eastAsia="Arial" w:hAnsi="Arial"/>
                  <w:sz w:val="18"/>
                  <w:szCs w:val="18"/>
                  <w:b w:val="1"/>
                  <w:bCs w:val="1"/>
                  <w:color w:val="0000EE"/>
                  <w:w w:val="95"/>
                </w:rPr>
                <w:t>Consolidated statements of cash flows for the years ended December 31, 2018 and 2017</w:t>
              </w:r>
            </w:hyperlink>
          </w:p>
        </w:tc>
        <w:tc>
          <w:tcPr>
            <w:tcW w:w="286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F-20</w:t>
            </w:r>
          </w:p>
        </w:tc>
      </w:tr>
      <w:tr>
        <w:trPr>
          <w:trHeight w:val="304"/>
        </w:trPr>
        <w:tc>
          <w:tcPr>
            <w:tcW w:w="200" w:type="dxa"/>
            <w:vAlign w:val="bottom"/>
          </w:tcPr>
          <w:p>
            <w:pPr>
              <w:spacing w:after="0"/>
              <w:rPr>
                <w:sz w:val="24"/>
                <w:szCs w:val="24"/>
                <w:color w:val="auto"/>
              </w:rPr>
            </w:pPr>
          </w:p>
        </w:tc>
        <w:tc>
          <w:tcPr>
            <w:tcW w:w="66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336">
              <w:r>
                <w:rPr>
                  <w:rFonts w:ascii="Arial" w:cs="Arial" w:eastAsia="Arial" w:hAnsi="Arial"/>
                  <w:sz w:val="18"/>
                  <w:szCs w:val="18"/>
                  <w:b w:val="1"/>
                  <w:bCs w:val="1"/>
                  <w:color w:val="0000EE"/>
                </w:rPr>
                <w:t>Notes to the financial statements</w:t>
              </w:r>
            </w:hyperlink>
          </w:p>
        </w:tc>
        <w:tc>
          <w:tcPr>
            <w:tcW w:w="338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F-21</w:t>
            </w:r>
          </w:p>
        </w:tc>
      </w:tr>
      <w:tr>
        <w:trPr>
          <w:trHeight w:val="385"/>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5540" w:type="dxa"/>
            <w:vAlign w:val="bottom"/>
            <w:gridSpan w:val="9"/>
          </w:tcPr>
          <w:p>
            <w:pPr>
              <w:ind w:left="860"/>
              <w:spacing w:after="0"/>
              <w:rPr>
                <w:sz w:val="20"/>
                <w:szCs w:val="20"/>
                <w:color w:val="auto"/>
              </w:rPr>
            </w:pPr>
            <w:r>
              <w:rPr>
                <w:rFonts w:ascii="Arial" w:cs="Arial" w:eastAsia="Arial" w:hAnsi="Arial"/>
                <w:sz w:val="18"/>
                <w:szCs w:val="18"/>
                <w:color w:val="auto"/>
              </w:rPr>
              <w:t>F-1</w:t>
            </w:r>
          </w:p>
        </w:tc>
        <w:tc>
          <w:tcPr>
            <w:tcW w:w="9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5"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Operations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7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473"/>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center"/>
              <w:ind w:left="373"/>
              <w:spacing w:after="0" w:line="142" w:lineRule="exact"/>
              <w:rPr>
                <w:sz w:val="20"/>
                <w:szCs w:val="20"/>
                <w:color w:val="auto"/>
              </w:rPr>
            </w:pPr>
            <w:r>
              <w:rPr>
                <w:rFonts w:ascii="Arial" w:cs="Arial" w:eastAsia="Arial" w:hAnsi="Arial"/>
                <w:sz w:val="14"/>
                <w:szCs w:val="14"/>
                <w:i w:val="1"/>
                <w:iCs w:val="1"/>
                <w:color w:val="auto"/>
                <w:w w:val="95"/>
              </w:rPr>
              <w:t>(unaudited)</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(8,694)</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36,961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(110,643)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(58,454)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(23,899)</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(91,702)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(29,831)</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 method investees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(90,827</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(23,300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(90,846</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(23,310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(90,730)</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(23,235)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(90,846</w:t>
            </w:r>
          </w:p>
        </w:tc>
        <w:tc>
          <w:tcPr>
            <w:tcW w:w="440" w:type="dxa"/>
            <w:vAlign w:val="bottom"/>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(23,310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Basic &amp; diluted, loss for the period attributable to ordinary equity holders of the parent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460" w:right="41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Comprehensive Income (loss)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gridSpan w:val="2"/>
            <w:vMerge w:val="restart"/>
          </w:tcPr>
          <w:p>
            <w:pPr>
              <w:ind w:left="8480"/>
              <w:spacing w:after="0"/>
              <w:rPr>
                <w:sz w:val="20"/>
                <w:szCs w:val="20"/>
                <w:color w:val="auto"/>
              </w:rPr>
            </w:pPr>
            <w:r>
              <w:rPr>
                <w:rFonts w:ascii="Arial" w:cs="Arial" w:eastAsia="Arial" w:hAnsi="Arial"/>
                <w:sz w:val="14"/>
                <w:szCs w:val="14"/>
                <w:b w:val="1"/>
                <w:bCs w:val="1"/>
                <w:color w:val="auto"/>
                <w:w w:val="89"/>
              </w:rPr>
              <w:t>Note</w:t>
            </w:r>
          </w:p>
        </w:tc>
        <w:tc>
          <w:tcPr>
            <w:tcW w:w="360" w:type="dxa"/>
            <w:vAlign w:val="bottom"/>
          </w:tcPr>
          <w:p>
            <w:pPr>
              <w:spacing w:after="0"/>
              <w:rPr>
                <w:sz w:val="14"/>
                <w:szCs w:val="14"/>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i w:val="1"/>
                <w:iCs w:val="1"/>
                <w:color w:val="auto"/>
                <w:w w:val="95"/>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(90,846)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(23,310)</w:t>
            </w:r>
          </w:p>
        </w:tc>
        <w:tc>
          <w:tcPr>
            <w:tcW w:w="0" w:type="dxa"/>
            <w:vAlign w:val="bottom"/>
          </w:tcPr>
          <w:p>
            <w:pPr>
              <w:spacing w:after="0"/>
              <w:rPr>
                <w:sz w:val="1"/>
                <w:szCs w:val="1"/>
                <w:color w:val="auto"/>
              </w:rPr>
            </w:pPr>
          </w:p>
        </w:tc>
      </w:tr>
      <w:tr>
        <w:trPr>
          <w:trHeight w:val="20"/>
        </w:trPr>
        <w:tc>
          <w:tcPr>
            <w:tcW w:w="8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comprehensive income that may be reclassified to profit or loss in subsequent periods (net of tax)</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other comprehensive income that may be reclassified to profit or loss in subsequent periods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income for the period, net of tax</w:t>
            </w: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period, net of tax</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(90,840)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(23,305)</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8"/>
                <w:szCs w:val="18"/>
                <w:color w:val="auto"/>
              </w:rPr>
              <w:t>Attributable to:</w:t>
            </w:r>
          </w:p>
        </w:tc>
        <w:tc>
          <w:tcPr>
            <w:tcW w:w="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(90,724)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period, net of tax</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(90,840)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financial position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As at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49"/>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2800" w:type="dxa"/>
            <w:vAlign w:val="bottom"/>
            <w:gridSpan w:val="3"/>
            <w:vMerge w:val="restart"/>
          </w:tcPr>
          <w:p>
            <w:pPr>
              <w:ind w:left="2140"/>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6020" w:type="dxa"/>
            <w:vAlign w:val="bottom"/>
            <w:gridSpan w:val="3"/>
            <w:vMerge w:val="continue"/>
          </w:tcPr>
          <w:p>
            <w:pPr>
              <w:spacing w:after="0"/>
              <w:rPr>
                <w:sz w:val="14"/>
                <w:szCs w:val="14"/>
                <w:color w:val="auto"/>
              </w:rPr>
            </w:pPr>
          </w:p>
        </w:tc>
        <w:tc>
          <w:tcPr>
            <w:tcW w:w="2800" w:type="dxa"/>
            <w:vAlign w:val="bottom"/>
            <w:gridSpan w:val="3"/>
            <w:vMerge w:val="continue"/>
          </w:tcPr>
          <w:p>
            <w:pPr>
              <w:spacing w:after="0"/>
              <w:rPr>
                <w:sz w:val="14"/>
                <w:szCs w:val="14"/>
                <w:color w:val="auto"/>
              </w:rPr>
            </w:pPr>
          </w:p>
        </w:tc>
        <w:tc>
          <w:tcPr>
            <w:tcW w:w="10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i w:val="1"/>
                <w:iCs w:val="1"/>
                <w:color w:val="auto"/>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8</w:t>
            </w:r>
          </w:p>
        </w:tc>
        <w:tc>
          <w:tcPr>
            <w:tcW w:w="36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94,992</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2440" w:type="dxa"/>
            <w:vAlign w:val="bottom"/>
            <w:gridSpan w:val="2"/>
            <w:shd w:val="clear" w:color="auto" w:fill="CCEEFF"/>
          </w:tcPr>
          <w:p>
            <w:pPr>
              <w:jc w:val="center"/>
              <w:ind w:left="2111"/>
              <w:spacing w:after="0"/>
              <w:rPr>
                <w:sz w:val="20"/>
                <w:szCs w:val="20"/>
                <w:color w:val="auto"/>
              </w:rPr>
            </w:pPr>
            <w:r>
              <w:rPr>
                <w:rFonts w:ascii="Arial" w:cs="Arial" w:eastAsia="Arial" w:hAnsi="Arial"/>
                <w:sz w:val="18"/>
                <w:szCs w:val="18"/>
                <w:color w:val="auto"/>
                <w:w w:val="79"/>
              </w:rPr>
              <w:t>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financial assets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218,047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2440" w:type="dxa"/>
            <w:vAlign w:val="bottom"/>
            <w:gridSpan w:val="2"/>
            <w:shd w:val="clear" w:color="auto" w:fill="CCEEFF"/>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assets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Deferred expense</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shd w:val="clear" w:color="auto" w:fill="CCEEFF"/>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504,322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722,369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Share capital</w:t>
            </w:r>
          </w:p>
        </w:tc>
        <w:tc>
          <w:tcPr>
            <w:tcW w:w="2440" w:type="dxa"/>
            <w:vAlign w:val="bottom"/>
            <w:gridSpan w:val="2"/>
          </w:tcPr>
          <w:p>
            <w:pPr>
              <w:jc w:val="center"/>
              <w:ind w:left="2091"/>
              <w:spacing w:after="0"/>
              <w:rPr>
                <w:sz w:val="20"/>
                <w:szCs w:val="20"/>
                <w:color w:val="auto"/>
              </w:rPr>
            </w:pPr>
            <w:r>
              <w:rPr>
                <w:rFonts w:ascii="Arial" w:cs="Arial" w:eastAsia="Arial" w:hAnsi="Arial"/>
                <w:sz w:val="18"/>
                <w:szCs w:val="18"/>
                <w:color w:val="auto"/>
                <w:w w:val="89"/>
              </w:rPr>
              <w:t>10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212,749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reserve</w:t>
            </w:r>
          </w:p>
        </w:tc>
        <w:tc>
          <w:tcPr>
            <w:tcW w:w="2440" w:type="dxa"/>
            <w:vAlign w:val="bottom"/>
            <w:gridSpan w:val="2"/>
            <w:shd w:val="clear" w:color="auto" w:fill="CCEEFF"/>
          </w:tcPr>
          <w:p>
            <w:pPr>
              <w:jc w:val="center"/>
              <w:ind w:left="2091"/>
              <w:spacing w:after="0"/>
              <w:rPr>
                <w:sz w:val="20"/>
                <w:szCs w:val="20"/>
                <w:color w:val="auto"/>
              </w:rPr>
            </w:pPr>
            <w:r>
              <w:rPr>
                <w:rFonts w:ascii="Arial" w:cs="Arial" w:eastAsia="Arial" w:hAnsi="Arial"/>
                <w:sz w:val="18"/>
                <w:szCs w:val="18"/>
                <w:color w:val="auto"/>
                <w:w w:val="89"/>
              </w:rPr>
              <w:t>10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Accumulated losses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(336,501)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(25,487)</w:t>
            </w: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384,490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Non-controllng interest</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384,490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Financial liabilities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liabilities</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259,865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Tax provisions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Trade payables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Other financial liabilities</w:t>
            </w:r>
          </w:p>
        </w:tc>
        <w:tc>
          <w:tcPr>
            <w:tcW w:w="2440" w:type="dxa"/>
            <w:vAlign w:val="bottom"/>
            <w:gridSpan w:val="2"/>
          </w:tcPr>
          <w:p>
            <w:pPr>
              <w:jc w:val="center"/>
              <w:ind w:left="2111"/>
              <w:spacing w:after="0"/>
              <w:rPr>
                <w:sz w:val="20"/>
                <w:szCs w:val="20"/>
                <w:color w:val="auto"/>
              </w:rPr>
            </w:pPr>
            <w:r>
              <w:rPr>
                <w:rFonts w:ascii="Arial" w:cs="Arial" w:eastAsia="Arial" w:hAnsi="Arial"/>
                <w:sz w:val="18"/>
                <w:szCs w:val="18"/>
                <w:color w:val="auto"/>
                <w:w w:val="79"/>
              </w:rPr>
              <w:t>9</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135,993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337,879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20" w:type="dxa"/>
            <w:vAlign w:val="bottom"/>
          </w:tcPr>
          <w:p>
            <w:pPr>
              <w:ind w:left="320"/>
              <w:spacing w:after="0"/>
              <w:rPr>
                <w:sz w:val="20"/>
                <w:szCs w:val="20"/>
                <w:color w:val="auto"/>
              </w:rPr>
            </w:pPr>
            <w:r>
              <w:rPr>
                <w:rFonts w:ascii="Arial" w:cs="Arial" w:eastAsia="Arial" w:hAnsi="Arial"/>
                <w:sz w:val="18"/>
                <w:szCs w:val="18"/>
                <w:b w:val="1"/>
                <w:bCs w:val="1"/>
                <w:color w:val="auto"/>
              </w:rPr>
              <w:t>Total equity and liabilities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722,369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changes in equity</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60" w:type="dxa"/>
            <w:vAlign w:val="bottom"/>
            <w:gridSpan w:val="14"/>
          </w:tcPr>
          <w:p>
            <w:pPr>
              <w:ind w:left="460"/>
              <w:spacing w:after="0"/>
              <w:rPr>
                <w:sz w:val="20"/>
                <w:szCs w:val="20"/>
                <w:color w:val="auto"/>
              </w:rPr>
            </w:pPr>
            <w:r>
              <w:rPr>
                <w:rFonts w:ascii="Arial" w:cs="Arial" w:eastAsia="Arial" w:hAnsi="Arial"/>
                <w:sz w:val="14"/>
                <w:szCs w:val="14"/>
                <w:b w:val="1"/>
                <w:bCs w:val="1"/>
                <w:color w:val="auto"/>
              </w:rPr>
              <w:t>Attributable to the equity holders of the parent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Issued</w:t>
            </w: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currency</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680" w:type="dxa"/>
            <w:vAlign w:val="bottom"/>
            <w:gridSpan w:val="2"/>
            <w:vMerge w:val="restart"/>
          </w:tcPr>
          <w:p>
            <w:pPr>
              <w:jc w:val="center"/>
              <w:ind w:right="7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2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68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reserve</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86"/>
              </w:rPr>
              <w:t>reserves</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68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at January 1, 2019</w:t>
            </w:r>
          </w:p>
        </w:tc>
        <w:tc>
          <w:tcPr>
            <w:tcW w:w="6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193,296</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344,115</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(245,771)</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(25,474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266,153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6"/>
                <w:szCs w:val="16"/>
                <w:b w:val="1"/>
                <w:bCs w:val="1"/>
                <w:color w:val="auto"/>
                <w:w w:val="82"/>
              </w:rPr>
              <w:t>847</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267,000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6"/>
                <w:szCs w:val="16"/>
                <w:color w:val="auto"/>
              </w:rPr>
              <w:t>Loss for the period</w:t>
            </w: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(90,730)</w:t>
            </w:r>
          </w:p>
        </w:tc>
        <w:tc>
          <w:tcPr>
            <w:tcW w:w="6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0"/>
              </w:rPr>
              <w:t>(90,730)</w:t>
            </w:r>
          </w:p>
        </w:tc>
        <w:tc>
          <w:tcPr>
            <w:tcW w:w="12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(116)</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3"/>
              </w:rPr>
              <w:t>(90,846)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Total comprehensive income</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(90,730)</w:t>
            </w:r>
          </w:p>
        </w:tc>
        <w:tc>
          <w:tcPr>
            <w:tcW w:w="1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(90,724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(90,840</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Issuance of share capital</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5,088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(5,078)</w:t>
            </w: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Capital increase Series B</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11,990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3"/>
              </w:rPr>
              <w:t>178,845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190,835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190,835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Acquisition of non-controlling interest</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2,375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(1,644)</w:t>
            </w: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731</w:t>
            </w:r>
          </w:p>
        </w:tc>
        <w:tc>
          <w:tcPr>
            <w:tcW w:w="12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(731)</w:t>
            </w:r>
          </w:p>
        </w:tc>
        <w:tc>
          <w:tcPr>
            <w:tcW w:w="6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(501)</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(501)</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Share-based payments</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At June 30, 2019 </w:t>
            </w:r>
            <w:r>
              <w:rPr>
                <w:rFonts w:ascii="Arial" w:cs="Arial" w:eastAsia="Arial" w:hAnsi="Arial"/>
                <w:sz w:val="16"/>
                <w:szCs w:val="16"/>
                <w:i w:val="1"/>
                <w:iCs w:val="1"/>
                <w:color w:val="auto"/>
              </w:rPr>
              <w:t>(unaudited)</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212,749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515,737</w:t>
            </w:r>
          </w:p>
        </w:tc>
        <w:tc>
          <w:tcPr>
            <w:tcW w:w="6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(336,501)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(7,488)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384,490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384,490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14"/>
          </w:tcPr>
          <w:p>
            <w:pPr>
              <w:ind w:left="480"/>
              <w:spacing w:after="0"/>
              <w:rPr>
                <w:sz w:val="20"/>
                <w:szCs w:val="20"/>
                <w:color w:val="auto"/>
              </w:rPr>
            </w:pPr>
            <w:r>
              <w:rPr>
                <w:rFonts w:ascii="Arial" w:cs="Arial" w:eastAsia="Arial" w:hAnsi="Arial"/>
                <w:sz w:val="14"/>
                <w:szCs w:val="14"/>
                <w:b w:val="1"/>
                <w:bCs w:val="1"/>
                <w:color w:val="auto"/>
              </w:rPr>
              <w:t>Attributable to the equity holders of the parent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Foreign</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Issued</w:t>
            </w:r>
          </w:p>
        </w:tc>
        <w:tc>
          <w:tcPr>
            <w:tcW w:w="40" w:type="dxa"/>
            <w:vAlign w:val="bottom"/>
          </w:tcPr>
          <w:p>
            <w:pPr>
              <w:spacing w:after="0"/>
              <w:rPr>
                <w:sz w:val="12"/>
                <w:szCs w:val="12"/>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Capital</w:t>
            </w:r>
          </w:p>
        </w:tc>
        <w:tc>
          <w:tcPr>
            <w:tcW w:w="11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currency</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680" w:type="dxa"/>
            <w:vAlign w:val="bottom"/>
            <w:gridSpan w:val="2"/>
            <w:vMerge w:val="restart"/>
          </w:tcPr>
          <w:p>
            <w:pPr>
              <w:jc w:val="center"/>
              <w:ind w:right="7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68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ind w:left="1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reserve</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86"/>
              </w:rPr>
              <w:t>reserves</w:t>
            </w:r>
          </w:p>
        </w:tc>
        <w:tc>
          <w:tcPr>
            <w:tcW w:w="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reserve</w:t>
            </w: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68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 at January 1, 2018</w:t>
            </w:r>
          </w:p>
        </w:tc>
        <w:tc>
          <w:tcPr>
            <w:tcW w:w="6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166,764</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8,922</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(197,753)</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(27,206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(49,296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1,090</w:t>
            </w: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(48,206</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6"/>
                <w:szCs w:val="16"/>
                <w:color w:val="auto"/>
              </w:rPr>
              <w:t>Loss for the period</w:t>
            </w: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4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(23,235)</w:t>
            </w:r>
          </w:p>
        </w:tc>
        <w:tc>
          <w:tcPr>
            <w:tcW w:w="6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0"/>
              </w:rPr>
              <w:t>(23,235)</w:t>
            </w:r>
          </w:p>
        </w:tc>
        <w:tc>
          <w:tcPr>
            <w:tcW w:w="12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(75)</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3"/>
              </w:rPr>
              <w:t>(23,310)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Total comprehensive income</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(23,235)</w:t>
            </w:r>
          </w:p>
        </w:tc>
        <w:tc>
          <w:tcPr>
            <w:tcW w:w="1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(23,230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w:t>
            </w: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(23,305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 capital Series A</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10</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22,588</w:t>
            </w:r>
          </w:p>
        </w:tc>
        <w:tc>
          <w:tcPr>
            <w:tcW w:w="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206,216</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228,804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228,804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20"/>
                <w:szCs w:val="20"/>
                <w:color w:val="auto"/>
              </w:rPr>
            </w:pPr>
            <w:r>
              <w:rPr>
                <w:rFonts w:ascii="Arial" w:cs="Arial" w:eastAsia="Arial" w:hAnsi="Arial"/>
                <w:sz w:val="16"/>
                <w:szCs w:val="16"/>
                <w:color w:val="auto"/>
              </w:rPr>
              <w:t>Settlement of share-based payment plan</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tcPr>
          <w:p>
            <w:pPr>
              <w:ind w:left="3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(5,909)</w:t>
            </w:r>
          </w:p>
        </w:tc>
        <w:tc>
          <w:tcPr>
            <w:tcW w:w="80" w:type="dxa"/>
            <w:vAlign w:val="bottom"/>
          </w:tcPr>
          <w:p>
            <w:pPr>
              <w:spacing w:after="0"/>
              <w:rPr>
                <w:sz w:val="17"/>
                <w:szCs w:val="17"/>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(5,909)</w:t>
            </w:r>
          </w:p>
        </w:tc>
        <w:tc>
          <w:tcPr>
            <w:tcW w:w="80" w:type="dxa"/>
            <w:vAlign w:val="bottom"/>
          </w:tcPr>
          <w:p>
            <w:pPr>
              <w:spacing w:after="0"/>
              <w:rPr>
                <w:sz w:val="17"/>
                <w:szCs w:val="17"/>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(5,909)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At June 30, 2018 </w:t>
            </w:r>
            <w:r>
              <w:rPr>
                <w:rFonts w:ascii="Arial" w:cs="Arial" w:eastAsia="Arial" w:hAnsi="Arial"/>
                <w:sz w:val="16"/>
                <w:szCs w:val="16"/>
                <w:i w:val="1"/>
                <w:iCs w:val="1"/>
                <w:color w:val="auto"/>
              </w:rPr>
              <w:t>(unaudited)</w:t>
            </w: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189,352</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215,138</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(220,988)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(33,115)</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(18)</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150,369</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1,015</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151,384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Six months ended</w:t>
      </w:r>
    </w:p>
    <w:p>
      <w:pPr>
        <w:jc w:val="center"/>
        <w:ind w:left="89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4"/>
          </w:tcPr>
          <w:p>
            <w:pPr>
              <w:jc w:val="right"/>
              <w:ind w:right="510"/>
              <w:spacing w:after="0" w:line="142" w:lineRule="exact"/>
              <w:rPr>
                <w:sz w:val="20"/>
                <w:szCs w:val="20"/>
                <w:color w:val="auto"/>
              </w:rPr>
            </w:pPr>
            <w:r>
              <w:rPr>
                <w:rFonts w:ascii="Arial" w:cs="Arial" w:eastAsia="Arial" w:hAnsi="Arial"/>
                <w:sz w:val="14"/>
                <w:szCs w:val="14"/>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Loss for the period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(90,846)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(90,827</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(23,300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equipment and 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15,595</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Net foreign exchange differences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(Gain)/Loss on disposal of property, plant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Finance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lease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Finance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of an associate and a joint venture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Working capital adjustments: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Decrease/(Increase) in trade receivable and contract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9,715</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Decrease/(Increase) in inventories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(Decrease)/Increase in trade and other payables and provisions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Interest received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Income tax paid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(85,689)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(69,677)</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intangibles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Acquisition of subsidiaries and businesses, net of cash acquired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(6,050)</w:t>
            </w: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(45,766)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(39,521)</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 capital, net of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228,804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Proceeds from loans and borrowings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227,736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(126,536)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Change in cash resulting from exchange rate differences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1 January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411,495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30 June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284,890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293,310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explanatory notes to the financial statements</w:t>
      </w:r>
    </w:p>
    <w:p>
      <w:pPr>
        <w:spacing w:after="0" w:line="131" w:lineRule="exact"/>
        <w:rPr>
          <w:sz w:val="20"/>
          <w:szCs w:val="20"/>
          <w:color w:val="auto"/>
        </w:rPr>
      </w:pPr>
    </w:p>
    <w:p>
      <w:pPr>
        <w:ind w:left="980" w:hanging="776"/>
        <w:spacing w:after="0"/>
        <w:tabs>
          <w:tab w:leader="none" w:pos="98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BioNTech SE is a limited company incorporated and domiciled in Germany. Its shares are not publicly traded. The registered office is located in Mainz, An der Goldgrube 12, 55131 Germany. The accompanying International Financial Reporting Standards (IFRS) interim condensed consolidated financial statements present the financial position and the results of operation of BioNTech SE and its subsidiaries, hereinafter also referred to as “BioNTech” or “Group”.</w:t>
      </w:r>
    </w:p>
    <w:p>
      <w:pPr>
        <w:spacing w:after="0" w:line="18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Effective March 8, 2019, BioNTech AG changed its name and legal form to BioNTech SE. The Group is principally engaged in developing innovative immunotherapies for the individualized treatment of cancer and other diseases.</w:t>
      </w:r>
    </w:p>
    <w:p>
      <w:pPr>
        <w:spacing w:after="0" w:line="17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During the six months ended June 30, 2019, two new entities have been founded in the United States: BioNTech USA Holding, LLC and BioNTech Research &amp; Development, Inc. Both are wholly owned subsidiaries of BioNTech SE.</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interim condensed consolidated financial statements the Group as of and for the six months ended June 30, 2019 were authorized for issue in accordance with a resolution of the directors on August 29, 2019.</w:t>
      </w:r>
    </w:p>
    <w:p>
      <w:pPr>
        <w:spacing w:after="0" w:line="315" w:lineRule="exact"/>
        <w:rPr>
          <w:sz w:val="20"/>
          <w:szCs w:val="20"/>
          <w:color w:val="auto"/>
        </w:rPr>
      </w:pPr>
    </w:p>
    <w:p>
      <w:pPr>
        <w:ind w:left="200" w:right="7840" w:firstLine="4"/>
        <w:spacing w:after="0" w:line="378" w:lineRule="auto"/>
        <w:tabs>
          <w:tab w:leader="none" w:pos="97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preparation</w:t>
      </w:r>
    </w:p>
    <w:p>
      <w:pPr>
        <w:ind w:left="200" w:firstLine="441"/>
        <w:spacing w:after="0" w:line="277" w:lineRule="auto"/>
        <w:rPr>
          <w:sz w:val="20"/>
          <w:szCs w:val="20"/>
          <w:color w:val="auto"/>
        </w:rPr>
      </w:pPr>
      <w:r>
        <w:rPr>
          <w:rFonts w:ascii="Arial" w:cs="Arial" w:eastAsia="Arial" w:hAnsi="Arial"/>
          <w:sz w:val="18"/>
          <w:szCs w:val="18"/>
          <w:color w:val="auto"/>
        </w:rPr>
        <w:t>The interim condensed consolidated financial statements as of and for the six months ended June 30, 2019 have been prepared in accordance with IAS 34 Interim Financial Reporting.</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interim condensed consolidated financial statements do not include all the information and disclosures required in the consolidated financial statements, and should be read in conjunction with the Group’s consolidated financial statements as at December 31, 2018 and 2017 and for the years then ended.</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BioNTech prepares and presents its consolidated financial statements in Euros. Unless otherwise stated, the numbers are rounded to thousands of Euros.</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accounting policies adopted in the preparation of the interim condensed consolidated financial statements are consistent with those followed in the preparation of the Group’s consolidated financial statements for the year ended December 31, 2018. The new and amended standards and interpretations applied for the first time as of January 1, 2019, as disclosed in the notes to the consolidated financial statements as of December 31, 2018, had no impact on the interim condensed consolidated financial statements of the Group as of June 30, 2019.</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240" w:top="460" w:right="51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80" w:hanging="776"/>
        <w:spacing w:after="0"/>
        <w:tabs>
          <w:tab w:leader="none" w:pos="98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following tables present revenue and operating results for the Group’s operating segments consistent with the presentation in the notes to the consolidated financial statements as of December 31, 2018 for the six months ended June 30, 2019 and 2018, respectively:</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9"/>
            <w:vMerge w:val="restart"/>
          </w:tcPr>
          <w:p>
            <w:pPr>
              <w:ind w:left="100"/>
              <w:spacing w:after="0"/>
              <w:rPr>
                <w:sz w:val="20"/>
                <w:szCs w:val="20"/>
                <w:color w:val="auto"/>
              </w:rPr>
            </w:pPr>
            <w:r>
              <w:rPr>
                <w:rFonts w:ascii="Arial" w:cs="Arial" w:eastAsia="Arial" w:hAnsi="Arial"/>
                <w:sz w:val="14"/>
                <w:szCs w:val="14"/>
                <w:b w:val="1"/>
                <w:bCs w:val="1"/>
                <w:color w:val="auto"/>
              </w:rPr>
              <w:t>Biotech Business Unit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6"/>
          </w:tcPr>
          <w:p>
            <w:pPr>
              <w:ind w:left="40"/>
              <w:spacing w:after="0"/>
              <w:rPr>
                <w:sz w:val="20"/>
                <w:szCs w:val="20"/>
                <w:color w:val="auto"/>
              </w:rPr>
            </w:pPr>
            <w:r>
              <w:rPr>
                <w:rFonts w:ascii="Arial" w:cs="Arial" w:eastAsia="Arial" w:hAnsi="Arial"/>
                <w:sz w:val="14"/>
                <w:szCs w:val="14"/>
                <w:b w:val="1"/>
                <w:bCs w:val="1"/>
                <w:color w:val="auto"/>
              </w:rPr>
              <w:t>External Services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9"/>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Business Unit</w:t>
            </w:r>
          </w:p>
        </w:tc>
        <w:tc>
          <w:tcPr>
            <w:tcW w:w="2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0"/>
                <w:szCs w:val="10"/>
                <w:color w:val="auto"/>
              </w:rPr>
            </w:pPr>
          </w:p>
        </w:tc>
        <w:tc>
          <w:tcPr>
            <w:tcW w:w="760" w:type="dxa"/>
            <w:vAlign w:val="bottom"/>
            <w:gridSpan w:val="5"/>
            <w:vMerge w:val="restart"/>
          </w:tcPr>
          <w:p>
            <w:pPr>
              <w:jc w:val="right"/>
              <w:ind w:right="219"/>
              <w:spacing w:after="0"/>
              <w:rPr>
                <w:sz w:val="20"/>
                <w:szCs w:val="20"/>
                <w:color w:val="auto"/>
              </w:rPr>
            </w:pPr>
            <w:r>
              <w:rPr>
                <w:rFonts w:ascii="Arial" w:cs="Arial" w:eastAsia="Arial" w:hAnsi="Arial"/>
                <w:sz w:val="14"/>
                <w:szCs w:val="14"/>
                <w:b w:val="1"/>
                <w:bCs w:val="1"/>
                <w:color w:val="auto"/>
                <w:w w:val="96"/>
              </w:rPr>
              <w:t>Clinical</w:t>
            </w:r>
          </w:p>
        </w:tc>
        <w:tc>
          <w:tcPr>
            <w:tcW w:w="960" w:type="dxa"/>
            <w:vAlign w:val="bottom"/>
            <w:gridSpan w:val="6"/>
          </w:tcPr>
          <w:p>
            <w:pPr>
              <w:jc w:val="right"/>
              <w:ind w:right="179"/>
              <w:spacing w:after="0" w:line="119" w:lineRule="exact"/>
              <w:rPr>
                <w:sz w:val="20"/>
                <w:szCs w:val="20"/>
                <w:color w:val="auto"/>
              </w:rPr>
            </w:pPr>
            <w:r>
              <w:rPr>
                <w:rFonts w:ascii="Arial" w:cs="Arial" w:eastAsia="Arial" w:hAnsi="Arial"/>
                <w:sz w:val="13"/>
                <w:szCs w:val="13"/>
                <w:b w:val="1"/>
                <w:bCs w:val="1"/>
                <w:color w:val="auto"/>
                <w:w w:val="98"/>
              </w:rPr>
              <w:t>Technology</w:t>
            </w:r>
          </w:p>
        </w:tc>
        <w:tc>
          <w:tcPr>
            <w:tcW w:w="1220" w:type="dxa"/>
            <w:vAlign w:val="bottom"/>
            <w:gridSpan w:val="6"/>
            <w:vMerge w:val="restart"/>
          </w:tcPr>
          <w:p>
            <w:pPr>
              <w:jc w:val="right"/>
              <w:ind w:right="240"/>
              <w:spacing w:after="0"/>
              <w:rPr>
                <w:sz w:val="20"/>
                <w:szCs w:val="20"/>
                <w:color w:val="auto"/>
              </w:rPr>
            </w:pPr>
            <w:r>
              <w:rPr>
                <w:rFonts w:ascii="Arial" w:cs="Arial" w:eastAsia="Arial" w:hAnsi="Arial"/>
                <w:sz w:val="14"/>
                <w:szCs w:val="14"/>
                <w:b w:val="1"/>
                <w:bCs w:val="1"/>
                <w:color w:val="auto"/>
                <w:w w:val="99"/>
              </w:rPr>
              <w:t>Manufacturing</w:t>
            </w:r>
          </w:p>
        </w:tc>
        <w:tc>
          <w:tcPr>
            <w:tcW w:w="60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w w:val="96"/>
              </w:rPr>
              <w:t>Business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External Services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4"/>
            <w:vMerge w:val="restart"/>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w w:val="99"/>
              </w:rPr>
              <w:t>Group</w:t>
            </w:r>
          </w:p>
        </w:tc>
        <w:tc>
          <w:tcPr>
            <w:tcW w:w="0" w:type="dxa"/>
            <w:vAlign w:val="bottom"/>
          </w:tcPr>
          <w:p>
            <w:pPr>
              <w:spacing w:after="0"/>
              <w:rPr>
                <w:sz w:val="1"/>
                <w:szCs w:val="1"/>
                <w:color w:val="auto"/>
              </w:rPr>
            </w:pPr>
          </w:p>
        </w:tc>
      </w:tr>
      <w:tr>
        <w:trPr>
          <w:trHeight w:val="158"/>
        </w:trPr>
        <w:tc>
          <w:tcPr>
            <w:tcW w:w="29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5"/>
          </w:tcPr>
          <w:p>
            <w:pPr>
              <w:jc w:val="right"/>
              <w:ind w:right="259"/>
              <w:spacing w:after="0" w:line="158" w:lineRule="exact"/>
              <w:rPr>
                <w:sz w:val="20"/>
                <w:szCs w:val="20"/>
                <w:color w:val="auto"/>
              </w:rPr>
            </w:pPr>
            <w:r>
              <w:rPr>
                <w:rFonts w:ascii="Arial" w:cs="Arial" w:eastAsia="Arial" w:hAnsi="Arial"/>
                <w:sz w:val="14"/>
                <w:szCs w:val="14"/>
                <w:b w:val="1"/>
                <w:bCs w:val="1"/>
                <w:color w:val="auto"/>
              </w:rPr>
              <w:t>Platform</w:t>
            </w:r>
          </w:p>
        </w:tc>
        <w:tc>
          <w:tcPr>
            <w:tcW w:w="122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jc w:val="right"/>
              <w:ind w:right="239"/>
              <w:spacing w:after="0" w:line="158" w:lineRule="exact"/>
              <w:rPr>
                <w:sz w:val="20"/>
                <w:szCs w:val="20"/>
                <w:color w:val="auto"/>
              </w:rPr>
            </w:pPr>
            <w:r>
              <w:rPr>
                <w:rFonts w:ascii="Arial" w:cs="Arial" w:eastAsia="Arial" w:hAnsi="Arial"/>
                <w:sz w:val="14"/>
                <w:szCs w:val="14"/>
                <w:b w:val="1"/>
                <w:bCs w:val="1"/>
                <w:color w:val="auto"/>
                <w:w w:val="92"/>
              </w:rPr>
              <w:t>Service</w:t>
            </w:r>
          </w:p>
        </w:tc>
        <w:tc>
          <w:tcPr>
            <w:tcW w:w="134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106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Six months ended June 30, 2019</w:t>
            </w: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Revenues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Collaboration Revenues</w:t>
            </w:r>
          </w:p>
        </w:tc>
        <w:tc>
          <w:tcPr>
            <w:tcW w:w="1120" w:type="dxa"/>
            <w:vAlign w:val="bottom"/>
            <w:gridSpan w:val="6"/>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€ 18,431</w:t>
            </w:r>
          </w:p>
        </w:tc>
        <w:tc>
          <w:tcPr>
            <w:tcW w:w="240" w:type="dxa"/>
            <w:vAlign w:val="bottom"/>
            <w:gridSpan w:val="3"/>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Revenues from other sales transactions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w w:val="85"/>
              </w:rPr>
              <w:t>463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9,443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Cost of sales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(8,603)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(8,603)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(8,694)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8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Gross Profit</w:t>
            </w:r>
          </w:p>
        </w:tc>
        <w:tc>
          <w:tcPr>
            <w:tcW w:w="360" w:type="dxa"/>
            <w:vAlign w:val="bottom"/>
          </w:tcPr>
          <w:p>
            <w:pPr>
              <w:spacing w:after="0"/>
              <w:rPr>
                <w:sz w:val="14"/>
                <w:szCs w:val="14"/>
                <w:color w:val="auto"/>
              </w:rPr>
            </w:pPr>
          </w:p>
        </w:tc>
        <w:tc>
          <w:tcPr>
            <w:tcW w:w="5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91"/>
              </w:rPr>
              <w:t>€ 18,431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w w:val="85"/>
              </w:rPr>
              <w:t>463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top w:val="single" w:sz="8" w:color="auto"/>
              <w:bottom w:val="single" w:sz="8" w:color="auto"/>
            </w:tcBorders>
            <w:gridSpan w:val="2"/>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23,594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0"/>
                <w:szCs w:val="10"/>
                <w:b w:val="1"/>
                <w:bCs w:val="1"/>
                <w:color w:val="auto"/>
                <w:w w:val="71"/>
              </w:rPr>
              <w:t>€</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43,336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43,245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Income / Expenses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Research and development expenses</w:t>
            </w:r>
          </w:p>
        </w:tc>
        <w:tc>
          <w:tcPr>
            <w:tcW w:w="1020" w:type="dxa"/>
            <w:vAlign w:val="bottom"/>
            <w:gridSpan w:val="5"/>
          </w:tcPr>
          <w:p>
            <w:pPr>
              <w:jc w:val="right"/>
              <w:ind w:right="39"/>
              <w:spacing w:after="0" w:line="149" w:lineRule="exact"/>
              <w:rPr>
                <w:sz w:val="20"/>
                <w:szCs w:val="20"/>
                <w:color w:val="auto"/>
              </w:rPr>
            </w:pPr>
            <w:r>
              <w:rPr>
                <w:rFonts w:ascii="Arial" w:cs="Arial" w:eastAsia="Arial" w:hAnsi="Arial"/>
                <w:sz w:val="14"/>
                <w:szCs w:val="14"/>
                <w:color w:val="auto"/>
              </w:rPr>
              <w:t>(43,686)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(38,214)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(26,237)</w:t>
            </w:r>
          </w:p>
        </w:tc>
        <w:tc>
          <w:tcPr>
            <w:tcW w:w="80" w:type="dxa"/>
            <w:vAlign w:val="bottom"/>
          </w:tcPr>
          <w:p>
            <w:pPr>
              <w:spacing w:after="0"/>
              <w:rPr>
                <w:sz w:val="12"/>
                <w:szCs w:val="12"/>
                <w:color w:val="auto"/>
              </w:rPr>
            </w:pPr>
          </w:p>
        </w:tc>
        <w:tc>
          <w:tcPr>
            <w:tcW w:w="720" w:type="dxa"/>
            <w:vAlign w:val="bottom"/>
            <w:gridSpan w:val="5"/>
          </w:tcPr>
          <w:p>
            <w:pPr>
              <w:jc w:val="right"/>
              <w:ind w:right="39"/>
              <w:spacing w:after="0" w:line="149" w:lineRule="exact"/>
              <w:rPr>
                <w:sz w:val="20"/>
                <w:szCs w:val="20"/>
                <w:color w:val="auto"/>
              </w:rPr>
            </w:pPr>
            <w:r>
              <w:rPr>
                <w:rFonts w:ascii="Arial" w:cs="Arial" w:eastAsia="Arial" w:hAnsi="Arial"/>
                <w:sz w:val="14"/>
                <w:szCs w:val="14"/>
                <w:color w:val="auto"/>
              </w:rPr>
              <w:t>(2,335)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0"/>
              </w:rPr>
              <w:t>(110,734)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w w:val="93"/>
              </w:rPr>
              <w:t>(110,643)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 expenses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General and administrative expenses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(1,858)</w:t>
            </w:r>
          </w:p>
        </w:tc>
        <w:tc>
          <w:tcPr>
            <w:tcW w:w="80" w:type="dxa"/>
            <w:vAlign w:val="bottom"/>
          </w:tcPr>
          <w:p>
            <w:pPr>
              <w:spacing w:after="0"/>
              <w:rPr>
                <w:sz w:val="12"/>
                <w:szCs w:val="12"/>
                <w:color w:val="auto"/>
              </w:rPr>
            </w:pPr>
          </w:p>
        </w:tc>
        <w:tc>
          <w:tcPr>
            <w:tcW w:w="720" w:type="dxa"/>
            <w:vAlign w:val="bottom"/>
            <w:gridSpan w:val="5"/>
          </w:tcPr>
          <w:p>
            <w:pPr>
              <w:jc w:val="right"/>
              <w:ind w:right="39"/>
              <w:spacing w:after="0" w:line="149" w:lineRule="exact"/>
              <w:rPr>
                <w:sz w:val="20"/>
                <w:szCs w:val="20"/>
                <w:color w:val="auto"/>
              </w:rPr>
            </w:pPr>
            <w:r>
              <w:rPr>
                <w:rFonts w:ascii="Arial" w:cs="Arial" w:eastAsia="Arial" w:hAnsi="Arial"/>
                <w:sz w:val="14"/>
                <w:szCs w:val="14"/>
                <w:color w:val="auto"/>
              </w:rPr>
              <w:t>(20,696)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(23,899)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(23,899)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result</w:t>
            </w:r>
          </w:p>
        </w:tc>
        <w:tc>
          <w:tcPr>
            <w:tcW w:w="9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288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Segment operating loss</w:t>
            </w:r>
          </w:p>
        </w:tc>
        <w:tc>
          <w:tcPr>
            <w:tcW w:w="360" w:type="dxa"/>
            <w:vAlign w:val="bottom"/>
          </w:tcPr>
          <w:p>
            <w:pPr>
              <w:spacing w:after="0"/>
              <w:rPr>
                <w:sz w:val="13"/>
                <w:szCs w:val="13"/>
                <w:color w:val="auto"/>
              </w:rPr>
            </w:pPr>
          </w:p>
        </w:tc>
        <w:tc>
          <w:tcPr>
            <w:tcW w:w="5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(24,995</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88"/>
              </w:rPr>
              <w:t>(37,463</w:t>
            </w:r>
          </w:p>
        </w:tc>
        <w:tc>
          <w:tcPr>
            <w:tcW w:w="14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208"/>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(4,487)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w w:val="84"/>
              </w:rPr>
              <w:t>€ (23,566</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(1,191)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(91,702</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(91,702</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9"/>
            <w:vMerge w:val="restart"/>
          </w:tcPr>
          <w:p>
            <w:pPr>
              <w:ind w:left="220"/>
              <w:spacing w:after="0"/>
              <w:rPr>
                <w:sz w:val="20"/>
                <w:szCs w:val="20"/>
                <w:color w:val="auto"/>
              </w:rPr>
            </w:pPr>
            <w:r>
              <w:rPr>
                <w:rFonts w:ascii="Arial" w:cs="Arial" w:eastAsia="Arial" w:hAnsi="Arial"/>
                <w:sz w:val="14"/>
                <w:szCs w:val="14"/>
                <w:b w:val="1"/>
                <w:bCs w:val="1"/>
                <w:color w:val="auto"/>
              </w:rPr>
              <w:t>Biotech Business Unit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5"/>
          </w:tcPr>
          <w:p>
            <w:pPr>
              <w:ind w:left="140"/>
              <w:spacing w:after="0"/>
              <w:rPr>
                <w:sz w:val="20"/>
                <w:szCs w:val="20"/>
                <w:color w:val="auto"/>
              </w:rPr>
            </w:pPr>
            <w:r>
              <w:rPr>
                <w:rFonts w:ascii="Arial" w:cs="Arial" w:eastAsia="Arial" w:hAnsi="Arial"/>
                <w:sz w:val="14"/>
                <w:szCs w:val="14"/>
                <w:b w:val="1"/>
                <w:bCs w:val="1"/>
                <w:color w:val="auto"/>
                <w:w w:val="97"/>
              </w:rPr>
              <w:t>External Services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9"/>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89"/>
              </w:rPr>
              <w:t>Business Unit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w w:val="92"/>
              </w:rPr>
              <w:t>Clinical</w:t>
            </w:r>
          </w:p>
        </w:tc>
        <w:tc>
          <w:tcPr>
            <w:tcW w:w="40" w:type="dxa"/>
            <w:vAlign w:val="bottom"/>
          </w:tcPr>
          <w:p>
            <w:pPr>
              <w:spacing w:after="0"/>
              <w:rPr>
                <w:sz w:val="10"/>
                <w:szCs w:val="10"/>
                <w:color w:val="auto"/>
              </w:rPr>
            </w:pPr>
          </w:p>
        </w:tc>
        <w:tc>
          <w:tcPr>
            <w:tcW w:w="920" w:type="dxa"/>
            <w:vAlign w:val="bottom"/>
            <w:gridSpan w:val="5"/>
          </w:tcPr>
          <w:p>
            <w:pPr>
              <w:jc w:val="right"/>
              <w:ind w:right="39"/>
              <w:spacing w:after="0" w:line="119" w:lineRule="exact"/>
              <w:rPr>
                <w:sz w:val="20"/>
                <w:szCs w:val="20"/>
                <w:color w:val="auto"/>
              </w:rPr>
            </w:pPr>
            <w:r>
              <w:rPr>
                <w:rFonts w:ascii="Arial" w:cs="Arial" w:eastAsia="Arial" w:hAnsi="Arial"/>
                <w:sz w:val="13"/>
                <w:szCs w:val="13"/>
                <w:b w:val="1"/>
                <w:bCs w:val="1"/>
                <w:color w:val="auto"/>
              </w:rPr>
              <w:t>Technology</w:t>
            </w:r>
          </w:p>
        </w:tc>
        <w:tc>
          <w:tcPr>
            <w:tcW w:w="60" w:type="dxa"/>
            <w:vAlign w:val="bottom"/>
          </w:tcPr>
          <w:p>
            <w:pPr>
              <w:spacing w:after="0"/>
              <w:rPr>
                <w:sz w:val="10"/>
                <w:szCs w:val="10"/>
                <w:color w:val="auto"/>
              </w:rPr>
            </w:pPr>
          </w:p>
        </w:tc>
        <w:tc>
          <w:tcPr>
            <w:tcW w:w="11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Manufacturing</w:t>
            </w:r>
          </w:p>
        </w:tc>
        <w:tc>
          <w:tcPr>
            <w:tcW w:w="60" w:type="dxa"/>
            <w:vAlign w:val="bottom"/>
          </w:tcPr>
          <w:p>
            <w:pPr>
              <w:spacing w:after="0"/>
              <w:rPr>
                <w:sz w:val="10"/>
                <w:szCs w:val="10"/>
                <w:color w:val="auto"/>
              </w:rPr>
            </w:pPr>
          </w:p>
        </w:tc>
        <w:tc>
          <w:tcPr>
            <w:tcW w:w="66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w w:val="89"/>
              </w:rPr>
              <w:t>Business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w w:val="97"/>
              </w:rPr>
              <w:t>External Services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9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58"/>
        </w:trPr>
        <w:tc>
          <w:tcPr>
            <w:tcW w:w="290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119"/>
              <w:spacing w:after="0" w:line="158" w:lineRule="exact"/>
              <w:rPr>
                <w:sz w:val="20"/>
                <w:szCs w:val="20"/>
                <w:color w:val="auto"/>
              </w:rPr>
            </w:pPr>
            <w:r>
              <w:rPr>
                <w:rFonts w:ascii="Arial" w:cs="Arial" w:eastAsia="Arial" w:hAnsi="Arial"/>
                <w:sz w:val="14"/>
                <w:szCs w:val="14"/>
                <w:b w:val="1"/>
                <w:bCs w:val="1"/>
                <w:color w:val="auto"/>
                <w:w w:val="95"/>
              </w:rPr>
              <w:t>Platform</w:t>
            </w:r>
          </w:p>
        </w:tc>
        <w:tc>
          <w:tcPr>
            <w:tcW w:w="60" w:type="dxa"/>
            <w:vAlign w:val="bottom"/>
          </w:tcPr>
          <w:p>
            <w:pPr>
              <w:spacing w:after="0"/>
              <w:rPr>
                <w:sz w:val="13"/>
                <w:szCs w:val="13"/>
                <w:color w:val="auto"/>
              </w:rPr>
            </w:pPr>
          </w:p>
        </w:tc>
        <w:tc>
          <w:tcPr>
            <w:tcW w:w="116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4"/>
          </w:tcPr>
          <w:p>
            <w:pPr>
              <w:jc w:val="right"/>
              <w:ind w:right="99"/>
              <w:spacing w:after="0" w:line="158" w:lineRule="exact"/>
              <w:rPr>
                <w:sz w:val="20"/>
                <w:szCs w:val="20"/>
                <w:color w:val="auto"/>
              </w:rPr>
            </w:pPr>
            <w:r>
              <w:rPr>
                <w:rFonts w:ascii="Arial" w:cs="Arial" w:eastAsia="Arial" w:hAnsi="Arial"/>
                <w:sz w:val="14"/>
                <w:szCs w:val="14"/>
                <w:b w:val="1"/>
                <w:bCs w:val="1"/>
                <w:color w:val="auto"/>
                <w:w w:val="96"/>
              </w:rPr>
              <w:t>Service</w:t>
            </w:r>
          </w:p>
        </w:tc>
        <w:tc>
          <w:tcPr>
            <w:tcW w:w="40" w:type="dxa"/>
            <w:vAlign w:val="bottom"/>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Six months ended June 30, 2018</w:t>
            </w: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Revenues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Collaboration Revenues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w w:val="91"/>
              </w:rPr>
              <w:t>€ 13,434</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4,377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11,470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€ 29,281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€ 29,281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Revenues from other sales transactions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8,488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14,117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14,117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Cost of sales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(6,386)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(6,426)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(6,437)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8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Gross Profit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8"/>
              </w:rPr>
              <w:t>€ 13,434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9,991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11,470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2,102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€ 36,972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€ 36,961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Income / Expenses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Research and development expenses</w:t>
            </w:r>
          </w:p>
        </w:tc>
        <w:tc>
          <w:tcPr>
            <w:tcW w:w="1120" w:type="dxa"/>
            <w:vAlign w:val="bottom"/>
            <w:gridSpan w:val="6"/>
          </w:tcPr>
          <w:p>
            <w:pPr>
              <w:jc w:val="right"/>
              <w:ind w:right="19"/>
              <w:spacing w:after="0" w:line="149" w:lineRule="exact"/>
              <w:rPr>
                <w:sz w:val="20"/>
                <w:szCs w:val="20"/>
                <w:color w:val="auto"/>
              </w:rPr>
            </w:pPr>
            <w:r>
              <w:rPr>
                <w:rFonts w:ascii="Arial" w:cs="Arial" w:eastAsia="Arial" w:hAnsi="Arial"/>
                <w:sz w:val="14"/>
                <w:szCs w:val="14"/>
                <w:color w:val="auto"/>
              </w:rPr>
              <w:t>(18,726)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(27,350)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(11,046)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(965)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(378)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right"/>
              <w:ind w:right="39"/>
              <w:spacing w:after="0" w:line="149" w:lineRule="exact"/>
              <w:rPr>
                <w:sz w:val="20"/>
                <w:szCs w:val="20"/>
                <w:color w:val="auto"/>
              </w:rPr>
            </w:pPr>
            <w:r>
              <w:rPr>
                <w:rFonts w:ascii="Arial" w:cs="Arial" w:eastAsia="Arial" w:hAnsi="Arial"/>
                <w:sz w:val="14"/>
                <w:szCs w:val="14"/>
                <w:color w:val="auto"/>
              </w:rPr>
              <w:t>(58,465)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(58,454)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 expenses</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(560)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(1,215)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General and administrative expenses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(1,166)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19"/>
              <w:spacing w:after="0" w:line="149" w:lineRule="exact"/>
              <w:rPr>
                <w:sz w:val="20"/>
                <w:szCs w:val="20"/>
                <w:color w:val="auto"/>
              </w:rPr>
            </w:pPr>
            <w:r>
              <w:rPr>
                <w:rFonts w:ascii="Arial" w:cs="Arial" w:eastAsia="Arial" w:hAnsi="Arial"/>
                <w:sz w:val="14"/>
                <w:szCs w:val="14"/>
                <w:color w:val="auto"/>
              </w:rPr>
              <w:t>(7,378)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right"/>
              <w:ind w:right="39"/>
              <w:spacing w:after="0" w:line="149" w:lineRule="exact"/>
              <w:rPr>
                <w:sz w:val="20"/>
                <w:szCs w:val="20"/>
                <w:color w:val="auto"/>
              </w:rPr>
            </w:pPr>
            <w:r>
              <w:rPr>
                <w:rFonts w:ascii="Arial" w:cs="Arial" w:eastAsia="Arial" w:hAnsi="Arial"/>
                <w:sz w:val="14"/>
                <w:szCs w:val="14"/>
                <w:color w:val="auto"/>
              </w:rPr>
              <w:t>(9,665)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(9,665)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result</w:t>
            </w:r>
          </w:p>
        </w:tc>
        <w:tc>
          <w:tcPr>
            <w:tcW w:w="10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2,127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Segment operating profit/loss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 (3,165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(17,141</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(714)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(8,985</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174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(29,831</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(29,831</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goodwill incurred of the acquisition of MAB Discovery was allocated to the Technology Platform segment.</w:t>
      </w:r>
    </w:p>
    <w:p>
      <w:pPr>
        <w:spacing w:after="0" w:line="22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To reconcile the segment figures to the Group interim condensed consolidated financial statements for the six months ended June 30, 2019, the presentation of k€ 91 of research and development expenses has been adjusted. For the six months ended June 30, 2018, research and development expenses have been adjusted by k€ 11.</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7080" w:firstLine="4"/>
        <w:spacing w:after="0" w:line="400" w:lineRule="auto"/>
        <w:tabs>
          <w:tab w:leader="none" w:pos="970" w:val="left"/>
        </w:tabs>
        <w:numPr>
          <w:ilvl w:val="0"/>
          <w:numId w:val="298"/>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Disaggregated revenue information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the disaggregation of the Group’s revenue from contracts with customers: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5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76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kEUR</w:t>
            </w:r>
          </w:p>
        </w:tc>
        <w:tc>
          <w:tcPr>
            <w:tcW w:w="1000" w:type="dxa"/>
            <w:vAlign w:val="bottom"/>
            <w:tcBorders>
              <w:bottom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91"/>
              </w:rPr>
              <w:t>June 30</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80" w:type="dxa"/>
            <w:vAlign w:val="bottom"/>
            <w:gridSpan w:val="2"/>
            <w:vMerge w:val="continue"/>
          </w:tcPr>
          <w:p>
            <w:pPr>
              <w:spacing w:after="0"/>
              <w:rPr>
                <w:sz w:val="11"/>
                <w:szCs w:val="11"/>
                <w:color w:val="auto"/>
              </w:rPr>
            </w:pPr>
          </w:p>
        </w:tc>
        <w:tc>
          <w:tcPr>
            <w:tcW w:w="60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Revenues resulting from collaboration and license agreements</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42,023</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29,281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Genentech Inc.</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31,750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22,164</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Pfizer Inc.</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Sanofi S.A.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3,099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Genmab A/S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ind w:left="360"/>
              <w:spacing w:after="0"/>
              <w:rPr>
                <w:sz w:val="20"/>
                <w:szCs w:val="20"/>
                <w:color w:val="auto"/>
              </w:rPr>
            </w:pPr>
            <w:r>
              <w:rPr>
                <w:rFonts w:ascii="Arial" w:cs="Arial" w:eastAsia="Arial" w:hAnsi="Arial"/>
                <w:sz w:val="18"/>
                <w:szCs w:val="18"/>
                <w:color w:val="auto"/>
              </w:rPr>
              <w:t>Eli Lilly and Company</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other sales transactions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51,939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43,398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Of the revenue from other sales transactions, k€5,835 for the six months ended June 30, 2019 (k€ 4,932 for the six months ended June 30, 2018) resulted from product sales.</w:t>
      </w:r>
    </w:p>
    <w:p>
      <w:pPr>
        <w:spacing w:after="0" w:line="315" w:lineRule="exact"/>
        <w:rPr>
          <w:sz w:val="20"/>
          <w:szCs w:val="20"/>
          <w:color w:val="auto"/>
        </w:rPr>
      </w:pPr>
    </w:p>
    <w:p>
      <w:pPr>
        <w:ind w:left="980" w:hanging="776"/>
        <w:spacing w:after="0"/>
        <w:tabs>
          <w:tab w:leader="none" w:pos="98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17"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MAB Discovery GmbH</w:t>
      </w:r>
    </w:p>
    <w:p>
      <w:pPr>
        <w:spacing w:after="0" w:line="121"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In January 2019, BioNTech entered into an asset purchase agreement to acquire MAB Discovery GmbH’s operational antibody generation unit based near Munich, Germany (hereinafter also referred to as “MAB Discovery”), for a total consideration of k€6,050. The employees of MAB Discovery were transferred automatically to BioNTech with effect as of the closing date. The acquisition closed on April 1, 2019.</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Group has acquired MAB Discovery because it intends to adopt and pursue the unit’s current business into its own. The acquisition has been accounted for using the acquisition method.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values of the identifiable net assets of MAB Discovery as at the date of acquisition were:</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recognised on</w:t>
            </w:r>
          </w:p>
        </w:tc>
      </w:tr>
      <w:tr>
        <w:trPr>
          <w:trHeight w:val="153"/>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acquisition</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gridSpan w:val="5"/>
          </w:tcPr>
          <w:p>
            <w:pPr>
              <w:jc w:val="center"/>
              <w:ind w:right="20"/>
              <w:spacing w:after="0" w:line="149" w:lineRule="exact"/>
              <w:rPr>
                <w:sz w:val="20"/>
                <w:szCs w:val="20"/>
                <w:color w:val="auto"/>
              </w:rPr>
            </w:pPr>
            <w:r>
              <w:rPr>
                <w:rFonts w:ascii="Arial" w:cs="Arial" w:eastAsia="Arial" w:hAnsi="Arial"/>
                <w:sz w:val="14"/>
                <w:szCs w:val="14"/>
                <w:color w:val="auto"/>
              </w:rPr>
              <w:t>MAB Discovery</w:t>
            </w:r>
          </w:p>
        </w:tc>
      </w:tr>
      <w:tr>
        <w:trPr>
          <w:trHeight w:val="167"/>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color w:val="auto"/>
                <w:w w:val="98"/>
              </w:rPr>
              <w:t>GmbH</w:t>
            </w:r>
          </w:p>
        </w:tc>
      </w:tr>
      <w:tr>
        <w:trPr>
          <w:trHeight w:val="196"/>
        </w:trPr>
        <w:tc>
          <w:tcPr>
            <w:tcW w:w="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Assets</w:t>
            </w:r>
          </w:p>
        </w:tc>
        <w:tc>
          <w:tcPr>
            <w:tcW w:w="3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Goodwill</w:t>
            </w:r>
          </w:p>
        </w:tc>
        <w:tc>
          <w:tcPr>
            <w:tcW w:w="33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3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r>
      <w:tr>
        <w:trPr>
          <w:trHeight w:val="223"/>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Total net assets</w:t>
            </w:r>
          </w:p>
        </w:tc>
        <w:tc>
          <w:tcPr>
            <w:tcW w:w="3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6,050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Cash flow on</w:t>
            </w:r>
          </w:p>
        </w:tc>
      </w:tr>
      <w:tr>
        <w:trPr>
          <w:trHeight w:val="153"/>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acquisition</w:t>
            </w: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420" w:type="dxa"/>
            <w:vAlign w:val="bottom"/>
            <w:gridSpan w:val="6"/>
          </w:tcPr>
          <w:p>
            <w:pPr>
              <w:jc w:val="center"/>
              <w:ind w:left="3136"/>
              <w:spacing w:after="0" w:line="149" w:lineRule="exact"/>
              <w:rPr>
                <w:sz w:val="20"/>
                <w:szCs w:val="20"/>
                <w:color w:val="auto"/>
              </w:rPr>
            </w:pPr>
            <w:r>
              <w:rPr>
                <w:rFonts w:ascii="Arial" w:cs="Arial" w:eastAsia="Arial" w:hAnsi="Arial"/>
                <w:sz w:val="14"/>
                <w:szCs w:val="14"/>
                <w:color w:val="auto"/>
              </w:rPr>
              <w:t>MAB Discovery</w:t>
            </w:r>
          </w:p>
        </w:tc>
      </w:tr>
      <w:tr>
        <w:trPr>
          <w:trHeight w:val="167"/>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color w:val="auto"/>
                <w:w w:val="93"/>
              </w:rPr>
              <w:t>GmbH</w:t>
            </w: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acquired</w:t>
            </w:r>
          </w:p>
        </w:tc>
        <w:tc>
          <w:tcPr>
            <w:tcW w:w="3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Cash paid</w:t>
            </w:r>
          </w:p>
        </w:tc>
        <w:tc>
          <w:tcPr>
            <w:tcW w:w="3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on acquisition</w:t>
            </w:r>
          </w:p>
        </w:tc>
        <w:tc>
          <w:tcPr>
            <w:tcW w:w="3500" w:type="dxa"/>
            <w:vAlign w:val="bottom"/>
            <w:gridSpan w:val="3"/>
            <w:shd w:val="clear" w:color="auto" w:fill="CCEEFF"/>
          </w:tcPr>
          <w:p>
            <w:pPr>
              <w:ind w:left="33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(6,050)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00" w:type="dxa"/>
            <w:vAlign w:val="bottom"/>
            <w:gridSpan w:val="3"/>
          </w:tcPr>
          <w:p>
            <w:pPr>
              <w:ind w:left="540"/>
              <w:spacing w:after="0"/>
              <w:rPr>
                <w:sz w:val="20"/>
                <w:szCs w:val="20"/>
                <w:color w:val="auto"/>
              </w:rPr>
            </w:pPr>
            <w:r>
              <w:rPr>
                <w:rFonts w:ascii="Arial" w:cs="Arial" w:eastAsia="Arial" w:hAnsi="Arial"/>
                <w:sz w:val="18"/>
                <w:szCs w:val="18"/>
                <w:color w:val="auto"/>
              </w:rPr>
              <w:t>F-9</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interim condensed consolidated financial statements include the results of MAB Discovery since the acquisition date. From the date of acquisition, MAB Discovery contributed k€2.421 to loss before tax in the Technology Platform business segment from continuing operations of the Group. From the date of acquisition, MAB Discovery did not generate any revenue.</w:t>
      </w:r>
    </w:p>
    <w:p>
      <w:pPr>
        <w:spacing w:after="0" w:line="18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Goodwill recognized is primarily attributed to the expected synergies and other benefits from combining the assets and activities of MAB Discovery with those of the Group.</w:t>
      </w:r>
    </w:p>
    <w:p>
      <w:pPr>
        <w:spacing w:after="0" w:line="17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Transaction costs related to the acquisition have been expensed and are included in the general and administrative expenses within the interim condensed consolidated statement of operations and are part of operating cash flows in the statement of cash flows.</w:t>
      </w:r>
    </w:p>
    <w:p>
      <w:pPr>
        <w:spacing w:after="0" w:line="315" w:lineRule="exact"/>
        <w:rPr>
          <w:sz w:val="20"/>
          <w:szCs w:val="20"/>
          <w:color w:val="auto"/>
        </w:rPr>
      </w:pPr>
    </w:p>
    <w:p>
      <w:pPr>
        <w:ind w:left="980" w:hanging="776"/>
        <w:spacing w:after="0"/>
        <w:tabs>
          <w:tab w:leader="none" w:pos="98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The Group calculates the interim income tax expense using the tax rate that would be applicable to the expected total annual earnings. For the six months ended June 30, 2019 an amount of k€19 was recorded. For the six months ended June 30, 2018 k€10 were recorded respectively.</w:t>
      </w:r>
    </w:p>
    <w:p>
      <w:pPr>
        <w:spacing w:after="0" w:line="268" w:lineRule="exact"/>
        <w:rPr>
          <w:sz w:val="20"/>
          <w:szCs w:val="20"/>
          <w:color w:val="auto"/>
        </w:rPr>
      </w:pPr>
    </w:p>
    <w:p>
      <w:pPr>
        <w:ind w:left="980" w:hanging="776"/>
        <w:spacing w:after="0"/>
        <w:tabs>
          <w:tab w:leader="none" w:pos="98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During the six months ended June 30, 2019, the Group acquired assets with a cost of k€10,609 (June 30, 2018: k€8,844), excluding property, plant and equipment acquired through a business combination (see note 5). The acquisitions during the six months ended June 30, 2019 were mainly related to equipment, tools and installations (k€5,743) as well as construction in progress and advance payments (k€4,224). During the six months ended June 30, 2018, the acquisitions were spread between equipment, tools and installations (k€3,263), land and buildings (k€3,205) as well as construction in progress and advance payments (k€2,376).</w:t>
      </w:r>
    </w:p>
    <w:p>
      <w:pPr>
        <w:spacing w:after="0" w:line="333" w:lineRule="exact"/>
        <w:rPr>
          <w:sz w:val="20"/>
          <w:szCs w:val="20"/>
          <w:color w:val="auto"/>
        </w:rPr>
      </w:pPr>
    </w:p>
    <w:p>
      <w:pPr>
        <w:ind w:left="980" w:hanging="776"/>
        <w:spacing w:after="0"/>
        <w:tabs>
          <w:tab w:leader="none" w:pos="98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During the six months ended June 30, 2019, the Group acquired intangible assets with a cost of k€10,451 (June 30, 2018: k€4,914), excluding intangible assets acquired through a business combination (see note 5). The acquisitions during the six months ended June 30, 2019 were mainly related to concessions, licenses and similar rights (k€7,029) as well as advance payments (k€3,422). During the six months ended June 30, 2018 the acquisitions were mainly related to concessions, licenses and similar rights (k€3,538) as well as advance payments (k€1,376).</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Assets with a net book value of k€528 were disposed by the Group during the six months ended June 30, 2019 (June 30, 2018: k€765) without any effect within the interim condensed consolidated statements of operations.</w:t>
      </w:r>
    </w:p>
    <w:p>
      <w:pPr>
        <w:spacing w:after="0" w:line="315" w:lineRule="exact"/>
        <w:rPr>
          <w:sz w:val="20"/>
          <w:szCs w:val="20"/>
          <w:color w:val="auto"/>
        </w:rPr>
      </w:pPr>
    </w:p>
    <w:p>
      <w:pPr>
        <w:ind w:left="980" w:hanging="776"/>
        <w:spacing w:after="0"/>
        <w:tabs>
          <w:tab w:leader="none" w:pos="98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and financial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Set out below, is an overview of financial assets, other than cash and short-term deposits, held by the Group as at June 30, 2019 and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229"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Financial assets at amortised cost</w:t>
            </w: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June 30,</w:t>
            </w:r>
          </w:p>
        </w:tc>
        <w:tc>
          <w:tcPr>
            <w:tcW w:w="150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11"/>
        </w:trPr>
        <w:tc>
          <w:tcPr>
            <w:tcW w:w="33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3380" w:type="dxa"/>
            <w:vAlign w:val="bottom"/>
            <w:gridSpan w:val="3"/>
            <w:vMerge w:val="continue"/>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2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8,858</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18,938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Other financial assets and receivables</w:t>
            </w:r>
          </w:p>
        </w:tc>
        <w:tc>
          <w:tcPr>
            <w:tcW w:w="2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190,647</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gridSpan w:val="2"/>
            <w:shd w:val="clear" w:color="auto" w:fill="CCEEFF"/>
          </w:tcPr>
          <w:p>
            <w:pPr>
              <w:ind w:left="2800"/>
              <w:spacing w:after="0"/>
              <w:rPr>
                <w:sz w:val="20"/>
                <w:szCs w:val="20"/>
                <w:color w:val="auto"/>
              </w:rPr>
            </w:pPr>
            <w:r>
              <w:rPr>
                <w:rFonts w:ascii="Arial" w:cs="Arial" w:eastAsia="Arial" w:hAnsi="Arial"/>
                <w:sz w:val="15"/>
                <w:szCs w:val="15"/>
                <w:b w:val="1"/>
                <w:bCs w:val="1"/>
                <w:u w:val="single" w:color="auto"/>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199,505</w:t>
            </w:r>
          </w:p>
        </w:tc>
        <w:tc>
          <w:tcPr>
            <w:tcW w:w="8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Total current</w:t>
            </w: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3"/>
            <w:vMerge w:val="continue"/>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199,504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2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80" w:type="dxa"/>
            <w:vAlign w:val="bottom"/>
            <w:gridSpan w:val="2"/>
          </w:tcPr>
          <w:p>
            <w:pPr>
              <w:ind w:left="640"/>
              <w:spacing w:after="0"/>
              <w:rPr>
                <w:sz w:val="20"/>
                <w:szCs w:val="20"/>
                <w:color w:val="auto"/>
              </w:rPr>
            </w:pPr>
            <w:r>
              <w:rPr>
                <w:rFonts w:ascii="Arial" w:cs="Arial" w:eastAsia="Arial" w:hAnsi="Arial"/>
                <w:sz w:val="18"/>
                <w:szCs w:val="18"/>
                <w:color w:val="auto"/>
              </w:rPr>
              <w:t>F-10</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increase in other financial assets and receivables is mainly related to an asset recorded for funds due from investors as of June 30, 2019 in connection with the Series B capital raise (see note 10).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an overview of financial liabilities held by the Group as at June 30, 2019 and December 31, 2018:</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Financial liabilities: Interest-bearing loans and borrowings</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20" w:type="dxa"/>
            <w:vAlign w:val="bottom"/>
          </w:tcPr>
          <w:p>
            <w:pPr>
              <w:spacing w:after="0"/>
              <w:rPr>
                <w:sz w:val="16"/>
                <w:szCs w:val="16"/>
                <w:color w:val="auto"/>
              </w:rPr>
            </w:pPr>
          </w:p>
        </w:tc>
        <w:tc>
          <w:tcPr>
            <w:tcW w:w="9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0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2.15% € 10,000,000 secured bank loan</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12/30/2027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€ 7,000</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2.08% € 9,450,000 secured bank loan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09/30/2028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4,600</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11,600</w:t>
            </w: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3"/>
            <w:vMerge w:val="restart"/>
          </w:tcPr>
          <w:p>
            <w:pPr>
              <w:spacing w:after="0"/>
              <w:rPr>
                <w:sz w:val="20"/>
                <w:szCs w:val="20"/>
                <w:color w:val="auto"/>
              </w:rPr>
            </w:pPr>
            <w:r>
              <w:rPr>
                <w:rFonts w:ascii="Arial" w:cs="Arial" w:eastAsia="Arial" w:hAnsi="Arial"/>
                <w:sz w:val="18"/>
                <w:szCs w:val="18"/>
                <w:color w:val="auto"/>
              </w:rPr>
              <w:t>Total current</w:t>
            </w: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6660" w:type="dxa"/>
            <w:vAlign w:val="bottom"/>
            <w:gridSpan w:val="2"/>
          </w:tcPr>
          <w:p>
            <w:pPr>
              <w:ind w:left="860"/>
              <w:spacing w:after="0"/>
              <w:rPr>
                <w:sz w:val="20"/>
                <w:szCs w:val="20"/>
                <w:color w:val="auto"/>
              </w:rPr>
            </w:pPr>
            <w:r>
              <w:rPr>
                <w:rFonts w:ascii="Arial" w:cs="Arial" w:eastAsia="Arial" w:hAnsi="Arial"/>
                <w:sz w:val="14"/>
                <w:szCs w:val="14"/>
                <w:b w:val="1"/>
                <w:bCs w:val="1"/>
                <w:color w:val="auto"/>
              </w:rPr>
              <w:t>Other financial liabilities at amortised cost, other than</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60" w:type="dxa"/>
            <w:vAlign w:val="bottom"/>
            <w:gridSpan w:val="2"/>
          </w:tcPr>
          <w:p>
            <w:pPr>
              <w:ind w:left="860"/>
              <w:spacing w:after="0"/>
              <w:rPr>
                <w:sz w:val="20"/>
                <w:szCs w:val="20"/>
                <w:color w:val="auto"/>
              </w:rPr>
            </w:pPr>
            <w:r>
              <w:rPr>
                <w:rFonts w:ascii="Arial" w:cs="Arial" w:eastAsia="Arial" w:hAnsi="Arial"/>
                <w:sz w:val="14"/>
                <w:szCs w:val="14"/>
                <w:b w:val="1"/>
                <w:bCs w:val="1"/>
                <w:color w:val="auto"/>
              </w:rPr>
              <w:t>interest-bearing loans and borrowings</w:t>
            </w:r>
          </w:p>
        </w:tc>
        <w:tc>
          <w:tcPr>
            <w:tcW w:w="480" w:type="dxa"/>
            <w:vAlign w:val="bottom"/>
          </w:tcPr>
          <w:p>
            <w:pPr>
              <w:spacing w:after="0"/>
              <w:rPr>
                <w:sz w:val="16"/>
                <w:szCs w:val="16"/>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6"/>
                <w:szCs w:val="16"/>
                <w:color w:val="auto"/>
              </w:rPr>
            </w:pPr>
          </w:p>
        </w:tc>
        <w:tc>
          <w:tcPr>
            <w:tcW w:w="1320" w:type="dxa"/>
            <w:vAlign w:val="bottom"/>
            <w:gridSpan w:val="5"/>
            <w:vMerge w:val="restart"/>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14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€16,881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41,721</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Lease liabilities</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52,759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50,752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86,992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98,605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49,987</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non-current</w:t>
            </w:r>
          </w:p>
        </w:tc>
        <w:tc>
          <w:tcPr>
            <w:tcW w:w="480" w:type="dxa"/>
            <w:vAlign w:val="bottom"/>
          </w:tcPr>
          <w:p>
            <w:pPr>
              <w:spacing w:after="0"/>
              <w:rPr>
                <w:sz w:val="18"/>
                <w:szCs w:val="18"/>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49,733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48,618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management activities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No changes have occurred regarding our risk management activities as disclosed in the notes to the consolidated financial statements as of December 31,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Fair values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liabilities include two fixed-interest rate loans. The fair value of the two fixed-interest rate loans is calculated based on significant observable inputs (Level 2). As of June 30, 2019 and December 31, 2018, the carrying value approximates their fair values as there have been no significant changes in relevant interest rates.</w:t>
      </w:r>
    </w:p>
    <w:p>
      <w:pPr>
        <w:spacing w:after="0" w:line="18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There were no transfers between Level 1 and Level 2 fair value measurements and no transfers into or out of Level 3 fair value measurements during the six months ended June 30, 2019.</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Issued capital and reserves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conversion from BioNTech AG to BioNTech SE had no effect on the shareholder’s rights and the shares.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During the six months ended June 30, 2019, the issued capital of BioNTech was increased by k€19,453. Of the amount issued in 2019, k€11,990 relates to new financing round (called Series B) with existing and new investors. Each share has a par value of €1.00. As a result of the Series B financing, the capital reserve was also increased during the six months ended June 30, 2019 by k€178,845.</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60"/>
          </w:cols>
          <w:pgMar w:left="240" w:top="459" w:right="49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As of March 14, 2019, BioNTech acquired the remaining 5.5% of non-controlling interests in BioNTech Cell &amp; Gene Therapies GmbH held by Eli Lilly Nederland B.V. in exchange of issuing 2,374,794 new ordinary shares with an imputed share in the share capital of €1.00 each. This acquisition was recognised within equity and resulted in the derecognition of the non-controlling interest of k€731 as well as an increase to the share capital of k€2,375. The net effect of the transaction of k€1,644 was recognized as a decrease in the capital reserve.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issued capital increase of k€22,588 during the comparative period of six months ended June 30, 2018 related to the Series A financing round.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Each share has a par value of EUR 1.00. As a result of the Series A financing, the capital reserve was also increased during the six months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2019 by k€206,216.</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amounts disclosed in this note have been retrospectively adjusted to reflect the share split as described in note 13.1.</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Share-based payments</w:t>
      </w:r>
    </w:p>
    <w:p>
      <w:pPr>
        <w:spacing w:after="0" w:line="12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On November 15, 2018, the Group established a share option program that grants selected employees options to receive shares in the company. The program is designed as an Employee Stock Ownership Plan (ESOP) as disclosed in the notes to the consolidated financial statements as of December 31, 2018. The amounts disclosed in this note have been retrospectively adjusted to reflect the share split as described in note 13.1.</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an overview of changes in ESOP during the six months ended June 30, 2019.</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Share options</w:t>
            </w:r>
          </w:p>
        </w:tc>
        <w:tc>
          <w:tcPr>
            <w:tcW w:w="1460" w:type="dxa"/>
            <w:vAlign w:val="bottom"/>
            <w:gridSpan w:val="3"/>
          </w:tcPr>
          <w:p>
            <w:pPr>
              <w:jc w:val="center"/>
              <w:ind w:left="116"/>
              <w:spacing w:after="0" w:line="149" w:lineRule="exact"/>
              <w:rPr>
                <w:sz w:val="20"/>
                <w:szCs w:val="20"/>
                <w:color w:val="auto"/>
              </w:rPr>
            </w:pPr>
            <w:r>
              <w:rPr>
                <w:rFonts w:ascii="Arial" w:cs="Arial" w:eastAsia="Arial" w:hAnsi="Arial"/>
                <w:sz w:val="14"/>
                <w:szCs w:val="14"/>
                <w:b w:val="1"/>
                <w:bCs w:val="1"/>
                <w:color w:val="auto"/>
                <w:w w:val="93"/>
              </w:rPr>
              <w:t>Ordinary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at January 1, 2019</w:t>
            </w:r>
          </w:p>
        </w:tc>
        <w:tc>
          <w:tcPr>
            <w:tcW w:w="2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658,109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11,845,962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Added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12,991</w:t>
            </w:r>
          </w:p>
        </w:tc>
        <w:tc>
          <w:tcPr>
            <w:tcW w:w="3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233,838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(10,982)</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(197,676)</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As at June 30, 2019</w:t>
            </w:r>
          </w:p>
        </w:tc>
        <w:tc>
          <w:tcPr>
            <w:tcW w:w="20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660,118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12,991 options granted during the six months ended June 30, 2019 consists of 9,471 options (representing 170,478 ordinary shares) granted between February 21, 2019 and April 3, 2019 and 3,520 options (representing 63,360 ordinary shares) granted between April 29, 2019 and May 31, 2019.</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of options granted during the six months ended June 30, 2019 was estimated on the grant date using the following assumptions:</w:t>
      </w:r>
    </w:p>
    <w:p>
      <w:pPr>
        <w:spacing w:after="0" w:line="25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gridSpan w:val="2"/>
          </w:tcPr>
          <w:p>
            <w:pPr>
              <w:jc w:val="center"/>
              <w:ind w:right="505"/>
              <w:spacing w:after="0"/>
              <w:rPr>
                <w:sz w:val="20"/>
                <w:szCs w:val="20"/>
                <w:color w:val="auto"/>
              </w:rPr>
            </w:pPr>
            <w:r>
              <w:rPr>
                <w:rFonts w:ascii="Arial" w:cs="Arial" w:eastAsia="Arial" w:hAnsi="Arial"/>
                <w:sz w:val="14"/>
                <w:szCs w:val="14"/>
                <w:b w:val="1"/>
                <w:bCs w:val="1"/>
                <w:color w:val="auto"/>
                <w:w w:val="95"/>
              </w:rPr>
              <w:t>Grant dates</w:t>
            </w:r>
          </w:p>
        </w:tc>
        <w:tc>
          <w:tcPr>
            <w:tcW w:w="400" w:type="dxa"/>
            <w:vAlign w:val="bottom"/>
          </w:tcPr>
          <w:p>
            <w:pPr>
              <w:spacing w:after="0"/>
              <w:rPr>
                <w:sz w:val="14"/>
                <w:szCs w:val="14"/>
                <w:color w:val="auto"/>
              </w:rPr>
            </w:pPr>
          </w:p>
        </w:tc>
        <w:tc>
          <w:tcPr>
            <w:tcW w:w="1020" w:type="dxa"/>
            <w:vAlign w:val="bottom"/>
            <w:gridSpan w:val="2"/>
          </w:tcPr>
          <w:p>
            <w:pPr>
              <w:jc w:val="center"/>
              <w:ind w:right="125"/>
              <w:spacing w:after="0"/>
              <w:rPr>
                <w:sz w:val="20"/>
                <w:szCs w:val="20"/>
                <w:color w:val="auto"/>
              </w:rPr>
            </w:pPr>
            <w:r>
              <w:rPr>
                <w:rFonts w:ascii="Arial" w:cs="Arial" w:eastAsia="Arial" w:hAnsi="Arial"/>
                <w:sz w:val="14"/>
                <w:szCs w:val="14"/>
                <w:b w:val="1"/>
                <w:bCs w:val="1"/>
                <w:color w:val="auto"/>
                <w:w w:val="95"/>
              </w:rPr>
              <w:t>Grant dates</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0" w:type="dxa"/>
            <w:vAlign w:val="bottom"/>
            <w:gridSpan w:val="2"/>
          </w:tcPr>
          <w:p>
            <w:pPr>
              <w:jc w:val="center"/>
              <w:ind w:right="505"/>
              <w:spacing w:after="0" w:line="149" w:lineRule="exact"/>
              <w:rPr>
                <w:sz w:val="20"/>
                <w:szCs w:val="20"/>
                <w:color w:val="auto"/>
              </w:rPr>
            </w:pPr>
            <w:r>
              <w:rPr>
                <w:rFonts w:ascii="Arial" w:cs="Arial" w:eastAsia="Arial" w:hAnsi="Arial"/>
                <w:sz w:val="14"/>
                <w:szCs w:val="14"/>
                <w:b w:val="1"/>
                <w:bCs w:val="1"/>
                <w:color w:val="auto"/>
                <w:w w:val="89"/>
              </w:rPr>
              <w:t>between</w:t>
            </w:r>
          </w:p>
        </w:tc>
        <w:tc>
          <w:tcPr>
            <w:tcW w:w="400" w:type="dxa"/>
            <w:vAlign w:val="bottom"/>
          </w:tcPr>
          <w:p>
            <w:pPr>
              <w:spacing w:after="0"/>
              <w:rPr>
                <w:sz w:val="12"/>
                <w:szCs w:val="12"/>
                <w:color w:val="auto"/>
              </w:rPr>
            </w:pPr>
          </w:p>
        </w:tc>
        <w:tc>
          <w:tcPr>
            <w:tcW w:w="1020" w:type="dxa"/>
            <w:vAlign w:val="bottom"/>
            <w:gridSpan w:val="2"/>
          </w:tcPr>
          <w:p>
            <w:pPr>
              <w:jc w:val="center"/>
              <w:ind w:right="125"/>
              <w:spacing w:after="0" w:line="149" w:lineRule="exact"/>
              <w:rPr>
                <w:sz w:val="20"/>
                <w:szCs w:val="20"/>
                <w:color w:val="auto"/>
              </w:rPr>
            </w:pPr>
            <w:r>
              <w:rPr>
                <w:rFonts w:ascii="Arial" w:cs="Arial" w:eastAsia="Arial" w:hAnsi="Arial"/>
                <w:sz w:val="14"/>
                <w:szCs w:val="14"/>
                <w:b w:val="1"/>
                <w:bCs w:val="1"/>
                <w:color w:val="auto"/>
                <w:w w:val="89"/>
              </w:rPr>
              <w:t>between</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120" w:type="dxa"/>
            <w:vAlign w:val="bottom"/>
            <w:gridSpan w:val="3"/>
          </w:tcPr>
          <w:p>
            <w:pPr>
              <w:jc w:val="center"/>
              <w:ind w:left="1054"/>
              <w:spacing w:after="0" w:line="149" w:lineRule="exact"/>
              <w:rPr>
                <w:sz w:val="20"/>
                <w:szCs w:val="20"/>
                <w:color w:val="auto"/>
              </w:rPr>
            </w:pPr>
            <w:r>
              <w:rPr>
                <w:rFonts w:ascii="Arial" w:cs="Arial" w:eastAsia="Arial" w:hAnsi="Arial"/>
                <w:sz w:val="14"/>
                <w:szCs w:val="14"/>
                <w:b w:val="1"/>
                <w:bCs w:val="1"/>
                <w:color w:val="auto"/>
                <w:w w:val="97"/>
              </w:rPr>
              <w:t>February 21 -</w:t>
            </w:r>
          </w:p>
        </w:tc>
        <w:tc>
          <w:tcPr>
            <w:tcW w:w="400" w:type="dxa"/>
            <w:vAlign w:val="bottom"/>
          </w:tcPr>
          <w:p>
            <w:pPr>
              <w:spacing w:after="0"/>
              <w:rPr>
                <w:sz w:val="12"/>
                <w:szCs w:val="12"/>
                <w:color w:val="auto"/>
              </w:rPr>
            </w:pPr>
          </w:p>
        </w:tc>
        <w:tc>
          <w:tcPr>
            <w:tcW w:w="1020" w:type="dxa"/>
            <w:vAlign w:val="bottom"/>
            <w:gridSpan w:val="2"/>
          </w:tcPr>
          <w:p>
            <w:pPr>
              <w:jc w:val="center"/>
              <w:ind w:right="125"/>
              <w:spacing w:after="0" w:line="149" w:lineRule="exact"/>
              <w:rPr>
                <w:sz w:val="20"/>
                <w:szCs w:val="20"/>
                <w:color w:val="auto"/>
              </w:rPr>
            </w:pPr>
            <w:r>
              <w:rPr>
                <w:rFonts w:ascii="Arial" w:cs="Arial" w:eastAsia="Arial" w:hAnsi="Arial"/>
                <w:sz w:val="14"/>
                <w:szCs w:val="14"/>
                <w:b w:val="1"/>
                <w:bCs w:val="1"/>
                <w:color w:val="auto"/>
                <w:w w:val="96"/>
              </w:rPr>
              <w:t>April 29 -</w:t>
            </w: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gridSpan w:val="2"/>
          </w:tcPr>
          <w:p>
            <w:pPr>
              <w:jc w:val="center"/>
              <w:ind w:right="505"/>
              <w:spacing w:after="0"/>
              <w:rPr>
                <w:sz w:val="20"/>
                <w:szCs w:val="20"/>
                <w:color w:val="auto"/>
              </w:rPr>
            </w:pPr>
            <w:r>
              <w:rPr>
                <w:rFonts w:ascii="Arial" w:cs="Arial" w:eastAsia="Arial" w:hAnsi="Arial"/>
                <w:sz w:val="14"/>
                <w:szCs w:val="14"/>
                <w:b w:val="1"/>
                <w:bCs w:val="1"/>
                <w:color w:val="auto"/>
                <w:w w:val="94"/>
              </w:rPr>
              <w:t>April 3, 2019</w:t>
            </w:r>
          </w:p>
        </w:tc>
        <w:tc>
          <w:tcPr>
            <w:tcW w:w="142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5"/>
              </w:rPr>
              <w:t>May 31, 2019</w:t>
            </w: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17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60" w:type="dxa"/>
            <w:vAlign w:val="bottom"/>
            <w:tcBorders>
              <w:top w:val="single" w:sz="8" w:color="CCEEFF"/>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0" w:type="dxa"/>
            <w:vAlign w:val="bottom"/>
            <w:tcBorders>
              <w:top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1720" w:type="dxa"/>
            <w:vAlign w:val="bottom"/>
          </w:tcPr>
          <w:p>
            <w:pPr>
              <w:spacing w:after="0"/>
              <w:rPr>
                <w:sz w:val="18"/>
                <w:szCs w:val="18"/>
                <w:color w:val="auto"/>
              </w:rPr>
            </w:pPr>
          </w:p>
        </w:tc>
        <w:tc>
          <w:tcPr>
            <w:tcW w:w="1400" w:type="dxa"/>
            <w:vAlign w:val="bottom"/>
            <w:gridSpan w:val="2"/>
          </w:tcPr>
          <w:p>
            <w:pPr>
              <w:jc w:val="right"/>
              <w:ind w:right="405"/>
              <w:spacing w:after="0"/>
              <w:rPr>
                <w:sz w:val="20"/>
                <w:szCs w:val="20"/>
                <w:color w:val="auto"/>
              </w:rPr>
            </w:pPr>
            <w:r>
              <w:rPr>
                <w:rFonts w:ascii="Arial" w:cs="Arial" w:eastAsia="Arial" w:hAnsi="Arial"/>
                <w:sz w:val="18"/>
                <w:szCs w:val="18"/>
                <w:color w:val="auto"/>
              </w:rPr>
              <w:t>15.72€</w:t>
            </w:r>
          </w:p>
        </w:tc>
        <w:tc>
          <w:tcPr>
            <w:tcW w:w="400" w:type="dxa"/>
            <w:vAlign w:val="bottom"/>
          </w:tcPr>
          <w:p>
            <w:pPr>
              <w:spacing w:after="0"/>
              <w:rPr>
                <w:sz w:val="18"/>
                <w:szCs w:val="18"/>
                <w:color w:val="auto"/>
              </w:rPr>
            </w:pPr>
          </w:p>
        </w:tc>
        <w:tc>
          <w:tcPr>
            <w:tcW w:w="1020" w:type="dxa"/>
            <w:vAlign w:val="bottom"/>
            <w:gridSpan w:val="2"/>
          </w:tcPr>
          <w:p>
            <w:pPr>
              <w:jc w:val="right"/>
              <w:ind w:right="45"/>
              <w:spacing w:after="0"/>
              <w:rPr>
                <w:sz w:val="20"/>
                <w:szCs w:val="20"/>
                <w:color w:val="auto"/>
              </w:rPr>
            </w:pPr>
            <w:r>
              <w:rPr>
                <w:rFonts w:ascii="Arial" w:cs="Arial" w:eastAsia="Arial" w:hAnsi="Arial"/>
                <w:sz w:val="18"/>
                <w:szCs w:val="18"/>
                <w:color w:val="auto"/>
              </w:rPr>
              <w:t>16.03€</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7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15.03€</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15.39€</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volatility (%)</w:t>
            </w:r>
          </w:p>
        </w:tc>
        <w:tc>
          <w:tcPr>
            <w:tcW w:w="3120" w:type="dxa"/>
            <w:vAlign w:val="bottom"/>
            <w:gridSpan w:val="3"/>
          </w:tcPr>
          <w:p>
            <w:pPr>
              <w:jc w:val="right"/>
              <w:ind w:right="345"/>
              <w:spacing w:after="0"/>
              <w:rPr>
                <w:sz w:val="20"/>
                <w:szCs w:val="20"/>
                <w:color w:val="auto"/>
              </w:rPr>
            </w:pPr>
            <w:r>
              <w:rPr>
                <w:rFonts w:ascii="Arial" w:cs="Arial" w:eastAsia="Arial" w:hAnsi="Arial"/>
                <w:sz w:val="18"/>
                <w:szCs w:val="18"/>
                <w:color w:val="auto"/>
              </w:rPr>
              <w:t>46.0%</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3120" w:type="dxa"/>
            <w:vAlign w:val="bottom"/>
            <w:gridSpan w:val="3"/>
          </w:tcPr>
          <w:p>
            <w:pPr>
              <w:jc w:val="right"/>
              <w:ind w:right="345"/>
              <w:spacing w:after="0"/>
              <w:rPr>
                <w:sz w:val="20"/>
                <w:szCs w:val="20"/>
                <w:color w:val="auto"/>
              </w:rPr>
            </w:pPr>
            <w:r>
              <w:rPr>
                <w:rFonts w:ascii="Arial" w:cs="Arial" w:eastAsia="Arial" w:hAnsi="Arial"/>
                <w:sz w:val="18"/>
                <w:szCs w:val="18"/>
                <w:color w:val="auto"/>
              </w:rPr>
              <w:t>0.05%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0.05%</w:t>
            </w:r>
          </w:p>
        </w:tc>
      </w:tr>
    </w:tbl>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For the six months ended June 30, 2019, the Group has recognized k€17,986 of share-based payment expense in the statement of operations (six month ended June 30, 2018: €0).</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59" w:right="47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the allocation of expenses in lines of the statements of operations.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52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2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58"/>
        </w:trPr>
        <w:tc>
          <w:tcPr>
            <w:tcW w:w="5260" w:type="dxa"/>
            <w:vAlign w:val="bottom"/>
            <w:gridSpan w:val="3"/>
            <w:vMerge w:val="continue"/>
          </w:tcPr>
          <w:p>
            <w:pPr>
              <w:spacing w:after="0"/>
              <w:rPr>
                <w:sz w:val="13"/>
                <w:szCs w:val="13"/>
                <w:color w:val="auto"/>
              </w:rPr>
            </w:pPr>
          </w:p>
        </w:tc>
        <w:tc>
          <w:tcPr>
            <w:tcW w:w="3120" w:type="dxa"/>
            <w:vAlign w:val="bottom"/>
            <w:gridSpan w:val="4"/>
          </w:tcPr>
          <w:p>
            <w:pPr>
              <w:jc w:val="center"/>
              <w:ind w:left="2099"/>
              <w:spacing w:after="0" w:line="158" w:lineRule="exact"/>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Cost of sales</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 expenses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Marketing expenses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 expenses</w:t>
            </w:r>
          </w:p>
        </w:tc>
        <w:tc>
          <w:tcPr>
            <w:tcW w:w="2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following table describes the transactions that have been entered into with AT Impf GmbH or entities controlled by them during the six months ended June 30, 2019 and 2018:</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14"/>
          <w:szCs w:val="14"/>
          <w:i w:val="1"/>
          <w:iCs w:val="1"/>
          <w:u w:val="single" w:color="auto"/>
          <w:color w:val="auto"/>
        </w:rPr>
        <w:t>In kEUR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wp:posOffset>
            </wp:positionV>
            <wp:extent cx="6997700"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 w:lineRule="exact"/>
        <w:rPr>
          <w:sz w:val="20"/>
          <w:szCs w:val="20"/>
          <w:color w:val="auto"/>
        </w:rPr>
      </w:pPr>
    </w:p>
    <w:p>
      <w:pPr>
        <w:ind w:left="560" w:right="2534"/>
        <w:spacing w:after="0" w:line="302" w:lineRule="auto"/>
        <w:rPr>
          <w:sz w:val="20"/>
          <w:szCs w:val="20"/>
          <w:color w:val="auto"/>
        </w:rPr>
      </w:pPr>
      <w:r>
        <w:rPr>
          <w:rFonts w:ascii="Arial" w:cs="Arial" w:eastAsia="Arial" w:hAnsi="Arial"/>
          <w:sz w:val="16"/>
          <w:szCs w:val="16"/>
          <w:color w:val="auto"/>
        </w:rPr>
        <w:t>Purchases of various goods and services from entities controlled by AT Impf GmbH Purchases of property and other assets from entities controlled by AT Impf GmbH</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6"/>
        <w:spacing w:after="0"/>
        <w:rPr>
          <w:sz w:val="20"/>
          <w:szCs w:val="20"/>
          <w:color w:val="auto"/>
        </w:rPr>
      </w:pPr>
      <w:r>
        <w:rPr>
          <w:rFonts w:ascii="Arial" w:cs="Arial" w:eastAsia="Arial" w:hAnsi="Arial"/>
          <w:sz w:val="14"/>
          <w:szCs w:val="14"/>
          <w:b w:val="1"/>
          <w:bCs w:val="1"/>
          <w:color w:val="auto"/>
        </w:rPr>
        <w:t>Transaction value</w:t>
      </w:r>
    </w:p>
    <w:p>
      <w:pPr>
        <w:spacing w:after="0" w:line="10" w:lineRule="exact"/>
        <w:rPr>
          <w:sz w:val="20"/>
          <w:szCs w:val="20"/>
          <w:color w:val="auto"/>
        </w:rPr>
      </w:pPr>
    </w:p>
    <w:tbl>
      <w:tblPr>
        <w:tblLayout w:type="fixed"/>
        <w:tblInd w:w="6" w:type="dxa"/>
        <w:tblCellMar>
          <w:top w:w="0" w:type="dxa"/>
          <w:left w:w="0" w:type="dxa"/>
          <w:bottom w:w="0" w:type="dxa"/>
          <w:right w:w="0" w:type="dxa"/>
        </w:tblCellMar>
      </w:tblPr>
      <w:tr>
        <w:trPr>
          <w:trHeight w:val="119"/>
        </w:trPr>
        <w:tc>
          <w:tcPr>
            <w:tcW w:w="640" w:type="dxa"/>
            <w:vAlign w:val="bottom"/>
            <w:tcBorders>
              <w:top w:val="single" w:sz="8" w:color="auto"/>
            </w:tcBorders>
          </w:tcPr>
          <w:p>
            <w:pPr>
              <w:jc w:val="center"/>
              <w:ind w:right="71"/>
              <w:spacing w:after="0" w:line="119" w:lineRule="exact"/>
              <w:rPr>
                <w:sz w:val="20"/>
                <w:szCs w:val="20"/>
                <w:color w:val="auto"/>
              </w:rPr>
            </w:pPr>
            <w:r>
              <w:rPr>
                <w:rFonts w:ascii="Arial" w:cs="Arial" w:eastAsia="Arial" w:hAnsi="Arial"/>
                <w:sz w:val="13"/>
                <w:szCs w:val="13"/>
                <w:b w:val="1"/>
                <w:bCs w:val="1"/>
                <w:color w:val="auto"/>
                <w:w w:val="96"/>
              </w:rPr>
              <w:t>June 30,</w:t>
            </w:r>
          </w:p>
        </w:tc>
        <w:tc>
          <w:tcPr>
            <w:tcW w:w="660" w:type="dxa"/>
            <w:vAlign w:val="bottom"/>
            <w:tcBorders>
              <w:top w:val="single" w:sz="8" w:color="auto"/>
            </w:tcBorders>
          </w:tcPr>
          <w:p>
            <w:pPr>
              <w:jc w:val="center"/>
              <w:ind w:left="51"/>
              <w:spacing w:after="0" w:line="119" w:lineRule="exact"/>
              <w:rPr>
                <w:sz w:val="20"/>
                <w:szCs w:val="20"/>
                <w:color w:val="auto"/>
              </w:rPr>
            </w:pPr>
            <w:r>
              <w:rPr>
                <w:rFonts w:ascii="Arial" w:cs="Arial" w:eastAsia="Arial" w:hAnsi="Arial"/>
                <w:sz w:val="13"/>
                <w:szCs w:val="13"/>
                <w:b w:val="1"/>
                <w:bCs w:val="1"/>
                <w:color w:val="auto"/>
                <w:w w:val="96"/>
              </w:rPr>
              <w:t>June 30,</w:t>
            </w:r>
          </w:p>
        </w:tc>
      </w:tr>
      <w:tr>
        <w:trPr>
          <w:trHeight w:val="186"/>
        </w:trPr>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jc w:val="right"/>
              <w:ind w:right="51"/>
              <w:spacing w:after="0"/>
              <w:rPr>
                <w:sz w:val="20"/>
                <w:szCs w:val="20"/>
                <w:color w:val="auto"/>
              </w:rPr>
            </w:pPr>
            <w:r>
              <w:rPr>
                <w:rFonts w:ascii="Arial" w:cs="Arial" w:eastAsia="Arial" w:hAnsi="Arial"/>
                <w:sz w:val="14"/>
                <w:szCs w:val="14"/>
                <w:b w:val="1"/>
                <w:bCs w:val="1"/>
                <w:color w:val="auto"/>
              </w:rPr>
              <w:t>2018</w:t>
            </w:r>
          </w:p>
        </w:tc>
      </w:tr>
    </w:tbl>
    <w:p>
      <w:pPr>
        <w:ind w:left="106" w:hanging="106"/>
        <w:spacing w:after="0"/>
        <w:tabs>
          <w:tab w:leader="none" w:pos="10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1,272   €  852</w:t>
      </w:r>
    </w:p>
    <w:p>
      <w:pPr>
        <w:spacing w:after="0" w:line="7" w:lineRule="exact"/>
        <w:rPr>
          <w:rFonts w:ascii="Arial" w:cs="Arial" w:eastAsia="Arial" w:hAnsi="Arial"/>
          <w:sz w:val="18"/>
          <w:szCs w:val="18"/>
          <w:color w:val="auto"/>
        </w:rPr>
      </w:pPr>
    </w:p>
    <w:p>
      <w:pPr>
        <w:ind w:left="246"/>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3,094</w:t>
      </w:r>
    </w:p>
    <w:p>
      <w:pPr>
        <w:spacing w:after="0" w:line="28" w:lineRule="exact"/>
        <w:rPr>
          <w:sz w:val="20"/>
          <w:szCs w:val="20"/>
          <w:color w:val="auto"/>
        </w:rPr>
      </w:pPr>
    </w:p>
    <w:p>
      <w:pPr>
        <w:sectPr>
          <w:pgSz w:w="11900" w:h="16838" w:orient="portrait"/>
          <w:cols w:equalWidth="0" w:num="2">
            <w:col w:w="9154" w:space="720"/>
            <w:col w:w="1366"/>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Total</w:t>
            </w:r>
          </w:p>
        </w:tc>
        <w:tc>
          <w:tcPr>
            <w:tcW w:w="5160" w:type="dxa"/>
            <w:vAlign w:val="bottom"/>
            <w:gridSpan w:val="2"/>
            <w:shd w:val="clear" w:color="auto" w:fill="CCEEFF"/>
          </w:tcPr>
          <w:p>
            <w:pPr>
              <w:ind w:left="4640"/>
              <w:spacing w:after="0" w:line="203" w:lineRule="exact"/>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1,272</w:t>
            </w:r>
          </w:p>
        </w:tc>
        <w:tc>
          <w:tcPr>
            <w:tcW w:w="840" w:type="dxa"/>
            <w:vAlign w:val="bottom"/>
            <w:gridSpan w:val="3"/>
            <w:shd w:val="clear" w:color="auto" w:fill="CCEEFF"/>
          </w:tcPr>
          <w:p>
            <w:pPr>
              <w:ind w:left="260"/>
              <w:spacing w:after="0" w:line="203"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3,946</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The following table describes the outstanding balances payable to AT Impf GmbH (parent company of the Group) or entities controlled by them as per June 30, 2019 and 2018:</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44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2920" w:type="dxa"/>
            <w:vAlign w:val="bottom"/>
          </w:tcPr>
          <w:p>
            <w:pPr>
              <w:spacing w:after="0"/>
              <w:rPr>
                <w:sz w:val="14"/>
                <w:szCs w:val="14"/>
                <w:color w:val="auto"/>
              </w:rPr>
            </w:pP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At June 30</w:t>
            </w:r>
          </w:p>
        </w:tc>
        <w:tc>
          <w:tcPr>
            <w:tcW w:w="0" w:type="dxa"/>
            <w:vAlign w:val="bottom"/>
          </w:tcPr>
          <w:p>
            <w:pPr>
              <w:spacing w:after="0"/>
              <w:rPr>
                <w:sz w:val="1"/>
                <w:szCs w:val="1"/>
                <w:color w:val="auto"/>
              </w:rPr>
            </w:pPr>
          </w:p>
        </w:tc>
      </w:tr>
      <w:tr>
        <w:trPr>
          <w:trHeight w:val="129"/>
        </w:trPr>
        <w:tc>
          <w:tcPr>
            <w:tcW w:w="4420" w:type="dxa"/>
            <w:vAlign w:val="bottom"/>
            <w:gridSpan w:val="3"/>
            <w:vMerge w:val="continue"/>
          </w:tcPr>
          <w:p>
            <w:pPr>
              <w:spacing w:after="0"/>
              <w:rPr>
                <w:sz w:val="11"/>
                <w:szCs w:val="11"/>
                <w:color w:val="auto"/>
              </w:rPr>
            </w:pPr>
          </w:p>
        </w:tc>
        <w:tc>
          <w:tcPr>
            <w:tcW w:w="2920" w:type="dxa"/>
            <w:vAlign w:val="bottom"/>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2019</w:t>
            </w: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AT Impf GmbH</w:t>
            </w:r>
          </w:p>
        </w:tc>
        <w:tc>
          <w:tcPr>
            <w:tcW w:w="29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9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value of transactions related to key management personnel, or entities which they control, were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1"/>
        </w:trPr>
        <w:tc>
          <w:tcPr>
            <w:tcW w:w="71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1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29"/>
        </w:trPr>
        <w:tc>
          <w:tcPr>
            <w:tcW w:w="7120" w:type="dxa"/>
            <w:vAlign w:val="bottom"/>
            <w:gridSpan w:val="3"/>
            <w:vMerge w:val="continue"/>
          </w:tcPr>
          <w:p>
            <w:pPr>
              <w:spacing w:after="0"/>
              <w:rPr>
                <w:sz w:val="11"/>
                <w:szCs w:val="11"/>
                <w:color w:val="auto"/>
              </w:rPr>
            </w:pPr>
          </w:p>
        </w:tc>
        <w:tc>
          <w:tcPr>
            <w:tcW w:w="5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Consulting services</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gridSpan w:val="2"/>
          </w:tcPr>
          <w:p>
            <w:pPr>
              <w:ind w:left="340"/>
              <w:spacing w:after="0"/>
              <w:rPr>
                <w:sz w:val="20"/>
                <w:szCs w:val="20"/>
                <w:color w:val="auto"/>
              </w:rPr>
            </w:pPr>
            <w:r>
              <w:rPr>
                <w:rFonts w:ascii="Arial" w:cs="Arial" w:eastAsia="Arial" w:hAnsi="Arial"/>
                <w:sz w:val="18"/>
                <w:szCs w:val="18"/>
                <w:color w:val="auto"/>
              </w:rPr>
              <w:t>Purchases of various goods and services from TRON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outstanding balances payable to key management personnel, or entities which they control, as per June 30, 2019 and 2018 were as follows:</w:t>
      </w:r>
    </w:p>
    <w:p>
      <w:pPr>
        <w:spacing w:after="0" w:line="267"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4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kEUR</w:t>
            </w:r>
          </w:p>
        </w:tc>
        <w:tc>
          <w:tcPr>
            <w:tcW w:w="4940" w:type="dxa"/>
            <w:vAlign w:val="bottom"/>
          </w:tcPr>
          <w:p>
            <w:pPr>
              <w:spacing w:after="0"/>
              <w:rPr>
                <w:sz w:val="14"/>
                <w:szCs w:val="14"/>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At June 30</w:t>
            </w:r>
          </w:p>
        </w:tc>
        <w:tc>
          <w:tcPr>
            <w:tcW w:w="0" w:type="dxa"/>
            <w:vAlign w:val="bottom"/>
          </w:tcPr>
          <w:p>
            <w:pPr>
              <w:spacing w:after="0"/>
              <w:rPr>
                <w:sz w:val="1"/>
                <w:szCs w:val="1"/>
                <w:color w:val="auto"/>
              </w:rPr>
            </w:pPr>
          </w:p>
        </w:tc>
      </w:tr>
      <w:tr>
        <w:trPr>
          <w:trHeight w:val="129"/>
        </w:trPr>
        <w:tc>
          <w:tcPr>
            <w:tcW w:w="2440" w:type="dxa"/>
            <w:vAlign w:val="bottom"/>
            <w:gridSpan w:val="3"/>
            <w:vMerge w:val="continue"/>
          </w:tcPr>
          <w:p>
            <w:pPr>
              <w:spacing w:after="0"/>
              <w:rPr>
                <w:sz w:val="11"/>
                <w:szCs w:val="11"/>
                <w:color w:val="auto"/>
              </w:rPr>
            </w:pPr>
          </w:p>
        </w:tc>
        <w:tc>
          <w:tcPr>
            <w:tcW w:w="4940" w:type="dxa"/>
            <w:vAlign w:val="bottom"/>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2019</w:t>
            </w:r>
          </w:p>
        </w:tc>
        <w:tc>
          <w:tcPr>
            <w:tcW w:w="62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TRON</w:t>
            </w:r>
          </w:p>
        </w:tc>
        <w:tc>
          <w:tcPr>
            <w:tcW w:w="49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683</w:t>
            </w:r>
          </w:p>
        </w:tc>
        <w:tc>
          <w:tcPr>
            <w:tcW w:w="1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1,092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49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683</w:t>
            </w:r>
          </w:p>
        </w:tc>
        <w:tc>
          <w:tcPr>
            <w:tcW w:w="140" w:type="dxa"/>
            <w:vAlign w:val="bottom"/>
          </w:tcPr>
          <w:p>
            <w:pPr>
              <w:spacing w:after="0"/>
              <w:rPr>
                <w:sz w:val="19"/>
                <w:szCs w:val="1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1,092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60" w:type="dxa"/>
            <w:vAlign w:val="bottom"/>
            <w:gridSpan w:val="2"/>
          </w:tcPr>
          <w:p>
            <w:pPr>
              <w:jc w:val="right"/>
              <w:ind w:right="3259"/>
              <w:spacing w:after="0"/>
              <w:rPr>
                <w:sz w:val="20"/>
                <w:szCs w:val="20"/>
                <w:color w:val="auto"/>
              </w:rPr>
            </w:pPr>
            <w:r>
              <w:rPr>
                <w:rFonts w:ascii="Arial" w:cs="Arial" w:eastAsia="Arial" w:hAnsi="Arial"/>
                <w:sz w:val="18"/>
                <w:szCs w:val="18"/>
                <w:color w:val="auto"/>
              </w:rPr>
              <w:t>F-13</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Events after the reporting period</w:t>
      </w:r>
    </w:p>
    <w:p>
      <w:pPr>
        <w:spacing w:after="0" w:line="12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13.1 On September 18, 2019, BioNTech effected a 1:18 share split by issuing 206,595,492 shares by way of a capital increase from its own funds; thus, no outside proceeds were received. This capital increase came into effect upon registration with the commercial register (Handelsregister). The accompanying financial statements and notes to the financial statements give retroactive effect to the share split for all periods presented.</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13.2 In August 2019, BioNTech collected the k€190,169 in funds due from investors in connection with the Series B financing, which were recorded as an asset in other financial assets and receivables at June 30, 2019. Additionally, in conjunction with the Series B financing and following June 30, 2019, BioNTech SE increased its share capital by k€6,000 for a total consideration of k€95,180, of which, k€7,713 has been collected to date. If the remaining proceeds are not received by the anticipated initial public offering by BioNTech SE, BioNTech intends to require the investor to transfer the shares back to BioNTech for no consideration.</w:t>
      </w:r>
    </w:p>
    <w:p>
      <w:pPr>
        <w:spacing w:after="0" w:line="18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13.3 On August 29, 2019, BioNTech entered into an agreement to purchase all of the outstanding shares of reBOOST Management GmbH from Medine GmbH, which is wholly owned by BioNTech’s Chief Executive Officer, Ugur Sahin. The k€300k purchase price consists of k€30 cash consideration and assumption of liabilities of up to k€270.</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13.4 On August 30, 2019, BioNTech entered into agreements with the Bill &amp; Melinda Gates Foundation (BMGF). BMGF agreed to purchase 3,038,674 ordinary shares of BioNTech for a total of k€ 49,864 (kUSD 55,000). These agreements require BioNTech to perform certain research and development activities to advance the development of products for the prevention and treatment of HIV and tuberculosis. In the event of a breach of the underlying conditions, including such research and development activities, BMGF has the right to sell its shares back to BioNTech at the initial share price or fair market value, whichever is higher, subject to certain conditions. BioNTech’s ability to pay dividends, if any, is also limited under the terms of these agreements.</w:t>
      </w:r>
    </w:p>
    <w:p>
      <w:pPr>
        <w:spacing w:after="0" w:line="193"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13.5 On September 9, 2019, BioNTech agreed to grant Prof. Ugur Sahin, M.D., BioNTech’s Chief Executive Officer, an option to purchase 4,374,963 of its ordinary shares. The grant is subject to the terms of BioNTech’s ESOP and contains vesting conditions consisting of a four-year service period (i.e. annually in equal installments over four years) and completion of an initial public offering by BioNTech. Exercise of the options is also subject to a four-year waiting period after the public offering. The option will have a per share exercise price at the price of such initial public offering.</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Management and the Board of Directors of BioNTech SE (formerly BioNTech AG)</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BioNTech AG (the Company) as of December 31, 2018 and 2017 and as of January 1, 2017, the related consolidated statements of operations, comprehensive income (loss), changes in equity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as of January 1, 2017, and the results of its operations and its cash flows for each of the two years in the period ended December 31, 2018, in conformity with International Financial Reporting Standards as issued by the International Accounting Standard Board.</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11200"/>
          </w:cols>
          <w:pgMar w:left="240" w:top="459" w:right="459" w:bottom="1440" w:gutter="0" w:footer="0" w:header="0"/>
        </w:sectPr>
      </w:pP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Titus Zwirner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Oliver Conrad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(German Public Auditor)</w:t>
      </w:r>
    </w:p>
    <w:p>
      <w:pPr>
        <w:spacing w:after="0" w:line="200" w:lineRule="exact"/>
        <w:rPr>
          <w:sz w:val="20"/>
          <w:szCs w:val="20"/>
          <w:color w:val="auto"/>
        </w:rPr>
      </w:pPr>
    </w:p>
    <w:p>
      <w:pPr>
        <w:sectPr>
          <w:pgSz w:w="11900" w:h="16838" w:orient="portrait"/>
          <w:cols w:equalWidth="0" w:num="2">
            <w:col w:w="4220" w:space="720"/>
            <w:col w:w="6260"/>
          </w:cols>
          <w:pgMar w:left="240" w:top="459" w:right="459" w:bottom="1440" w:gutter="0" w:footer="0" w:header="0"/>
          <w:type w:val="continuous"/>
        </w:sectPr>
      </w:pPr>
    </w:p>
    <w:p>
      <w:pPr>
        <w:spacing w:after="0" w:line="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Ernst &amp; Young GmbH Wirtschaftsprüfungsgesellschaft</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served as the Company’s auditor since 2018.</w:t>
      </w:r>
    </w:p>
    <w:p>
      <w:pPr>
        <w:sectPr>
          <w:pgSz w:w="11900" w:h="16838" w:orient="portrait"/>
          <w:cols w:equalWidth="0" w:num="1">
            <w:col w:w="11200"/>
          </w:cols>
          <w:pgMar w:left="240" w:top="459" w:right="459" w:bottom="1440" w:gutter="0" w:footer="0" w:header="0"/>
          <w:type w:val="continuous"/>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Cologne, Germany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June 18, 2019, except as to Note 21.7, as to which the date is September 24, 2019</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59" w:right="459" w:bottom="1440" w:gutter="0" w:footer="0" w:header="0"/>
          <w:type w:val="continuous"/>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780" w:type="dxa"/>
            <w:vAlign w:val="bottom"/>
            <w:gridSpan w:val="3"/>
            <w:vMerge w:val="restart"/>
          </w:tcPr>
          <w:p>
            <w:pPr>
              <w:ind w:left="1280"/>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127,575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61,598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113,885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52,280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(143,040)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(85,496)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580" w:type="dxa"/>
            <w:vAlign w:val="bottom"/>
            <w:gridSpan w:val="2"/>
            <w:shd w:val="clear" w:color="auto" w:fill="CCEEFF"/>
          </w:tcPr>
          <w:p>
            <w:pPr>
              <w:jc w:val="center"/>
              <w:ind w:left="1191"/>
              <w:spacing w:after="0"/>
              <w:rPr>
                <w:sz w:val="20"/>
                <w:szCs w:val="20"/>
                <w:color w:val="auto"/>
              </w:rPr>
            </w:pPr>
            <w:r>
              <w:rPr>
                <w:rFonts w:ascii="Arial" w:cs="Arial" w:eastAsia="Arial" w:hAnsi="Arial"/>
                <w:sz w:val="18"/>
                <w:szCs w:val="18"/>
                <w:color w:val="auto"/>
                <w:w w:val="87"/>
              </w:rPr>
              <w:t>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(26,334)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580" w:type="dxa"/>
            <w:vAlign w:val="bottom"/>
            <w:gridSpan w:val="2"/>
            <w:shd w:val="clear" w:color="auto" w:fill="CCEEFF"/>
          </w:tcPr>
          <w:p>
            <w:pPr>
              <w:jc w:val="center"/>
              <w:ind w:left="1191"/>
              <w:spacing w:after="0"/>
              <w:rPr>
                <w:sz w:val="20"/>
                <w:szCs w:val="20"/>
                <w:color w:val="auto"/>
              </w:rPr>
            </w:pPr>
            <w:r>
              <w:rPr>
                <w:rFonts w:ascii="Arial" w:cs="Arial" w:eastAsia="Arial" w:hAnsi="Arial"/>
                <w:sz w:val="18"/>
                <w:szCs w:val="18"/>
                <w:color w:val="auto"/>
                <w:w w:val="87"/>
              </w:rPr>
              <w:t>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(53,854)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(61,277)</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7"/>
              </w:rPr>
              <w:t>6.7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580" w:type="dxa"/>
            <w:vAlign w:val="bottom"/>
            <w:gridSpan w:val="2"/>
            <w:shd w:val="clear" w:color="auto" w:fill="CCEEFF"/>
          </w:tcPr>
          <w:p>
            <w:pPr>
              <w:jc w:val="center"/>
              <w:ind w:left="1191"/>
              <w:spacing w:after="0"/>
              <w:rPr>
                <w:sz w:val="20"/>
                <w:szCs w:val="20"/>
                <w:color w:val="auto"/>
              </w:rPr>
            </w:pPr>
            <w:r>
              <w:rPr>
                <w:rFonts w:ascii="Arial" w:cs="Arial" w:eastAsia="Arial" w:hAnsi="Arial"/>
                <w:sz w:val="18"/>
                <w:szCs w:val="18"/>
                <w:color w:val="auto"/>
                <w:w w:val="87"/>
              </w:rPr>
              <w:t>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1580" w:type="dxa"/>
            <w:vAlign w:val="bottom"/>
            <w:gridSpan w:val="2"/>
          </w:tcPr>
          <w:p>
            <w:pPr>
              <w:jc w:val="center"/>
              <w:ind w:left="1191"/>
              <w:spacing w:after="0"/>
              <w:rPr>
                <w:sz w:val="20"/>
                <w:szCs w:val="20"/>
                <w:color w:val="auto"/>
              </w:rPr>
            </w:pPr>
            <w:r>
              <w:rPr>
                <w:rFonts w:ascii="Arial" w:cs="Arial" w:eastAsia="Arial" w:hAnsi="Arial"/>
                <w:sz w:val="18"/>
                <w:szCs w:val="18"/>
                <w:color w:val="auto"/>
                <w:w w:val="89"/>
              </w:rPr>
              <w:t>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 of loss of equity method investees</w:t>
            </w:r>
          </w:p>
        </w:tc>
        <w:tc>
          <w:tcPr>
            <w:tcW w:w="1580" w:type="dxa"/>
            <w:vAlign w:val="bottom"/>
            <w:gridSpan w:val="2"/>
            <w:shd w:val="clear" w:color="auto" w:fill="CCEEFF"/>
          </w:tcPr>
          <w:p>
            <w:pPr>
              <w:jc w:val="center"/>
              <w:ind w:left="1171"/>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(47,662</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(85,905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80" w:type="dxa"/>
            <w:vAlign w:val="bottom"/>
            <w:gridSpan w:val="2"/>
            <w:shd w:val="clear" w:color="auto" w:fill="CCEEFF"/>
          </w:tcPr>
          <w:p>
            <w:pPr>
              <w:jc w:val="center"/>
              <w:ind w:left="1171"/>
              <w:spacing w:after="0"/>
              <w:rPr>
                <w:sz w:val="20"/>
                <w:szCs w:val="20"/>
                <w:color w:val="auto"/>
              </w:rPr>
            </w:pPr>
            <w:r>
              <w:rPr>
                <w:rFonts w:ascii="Arial" w:cs="Arial" w:eastAsia="Arial" w:hAnsi="Arial"/>
                <w:sz w:val="18"/>
                <w:szCs w:val="18"/>
                <w:color w:val="auto"/>
                <w:w w:val="79"/>
              </w:rPr>
              <w:t>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Loss for the year</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(48,262</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(85,950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(85,653)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(48,262</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(85,950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Basic &amp; diluted, loss for the year attributable to ordinary equity holders of the parent</w:t>
            </w:r>
          </w:p>
        </w:tc>
        <w:tc>
          <w:tcPr>
            <w:tcW w:w="1580" w:type="dxa"/>
            <w:vAlign w:val="bottom"/>
            <w:gridSpan w:val="2"/>
          </w:tcPr>
          <w:p>
            <w:pPr>
              <w:jc w:val="center"/>
              <w:ind w:left="1171"/>
              <w:spacing w:after="0"/>
              <w:rPr>
                <w:sz w:val="20"/>
                <w:szCs w:val="20"/>
                <w:color w:val="auto"/>
              </w:rPr>
            </w:pPr>
            <w:r>
              <w:rPr>
                <w:rFonts w:ascii="Arial" w:cs="Arial" w:eastAsia="Arial" w:hAnsi="Arial"/>
                <w:sz w:val="18"/>
                <w:szCs w:val="18"/>
                <w:color w:val="auto"/>
                <w:w w:val="79"/>
              </w:rPr>
              <w:t>8</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59" w:right="41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gridSpan w:val="2"/>
            <w:vMerge w:val="restart"/>
          </w:tcPr>
          <w:p>
            <w:pPr>
              <w:ind w:left="8480"/>
              <w:spacing w:after="0"/>
              <w:rPr>
                <w:sz w:val="20"/>
                <w:szCs w:val="20"/>
                <w:color w:val="auto"/>
              </w:rPr>
            </w:pPr>
            <w:r>
              <w:rPr>
                <w:rFonts w:ascii="Arial" w:cs="Arial" w:eastAsia="Arial" w:hAnsi="Arial"/>
                <w:sz w:val="14"/>
                <w:szCs w:val="14"/>
                <w:b w:val="1"/>
                <w:bCs w:val="1"/>
                <w:color w:val="auto"/>
                <w:w w:val="89"/>
              </w:rPr>
              <w:t>Note</w:t>
            </w:r>
          </w:p>
        </w:tc>
        <w:tc>
          <w:tcPr>
            <w:tcW w:w="360" w:type="dxa"/>
            <w:vAlign w:val="bottom"/>
          </w:tcPr>
          <w:p>
            <w:pPr>
              <w:spacing w:after="0"/>
              <w:rPr>
                <w:sz w:val="14"/>
                <w:szCs w:val="14"/>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(48,262</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(85,950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8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comprehensive income that may be reclassified to profit or loss in subsequent periods (net of tax)</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Net other comprehensive income/(loss) that may be reclassified to profit or loss in subsequent periods</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(48,252)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8"/>
                <w:szCs w:val="18"/>
                <w:color w:val="auto"/>
              </w:rPr>
              <w:t>Attributable to:</w:t>
            </w:r>
          </w:p>
        </w:tc>
        <w:tc>
          <w:tcPr>
            <w:tcW w:w="3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(48,009)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(48,252)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As at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As at</w:t>
            </w:r>
          </w:p>
        </w:tc>
        <w:tc>
          <w:tcPr>
            <w:tcW w:w="13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As at January 1,</w:t>
            </w:r>
          </w:p>
        </w:tc>
        <w:tc>
          <w:tcPr>
            <w:tcW w:w="0" w:type="dxa"/>
            <w:vAlign w:val="bottom"/>
          </w:tcPr>
          <w:p>
            <w:pPr>
              <w:spacing w:after="0"/>
              <w:rPr>
                <w:sz w:val="1"/>
                <w:szCs w:val="1"/>
                <w:color w:val="auto"/>
              </w:rPr>
            </w:pPr>
          </w:p>
        </w:tc>
      </w:tr>
      <w:tr>
        <w:trPr>
          <w:trHeight w:val="149"/>
        </w:trPr>
        <w:tc>
          <w:tcPr>
            <w:tcW w:w="6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Note</w:t>
            </w:r>
          </w:p>
        </w:tc>
        <w:tc>
          <w:tcPr>
            <w:tcW w:w="1560" w:type="dxa"/>
            <w:vAlign w:val="bottom"/>
            <w:gridSpan w:val="4"/>
          </w:tcPr>
          <w:p>
            <w:pPr>
              <w:jc w:val="center"/>
              <w:ind w:left="7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36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71"/>
              <w:spacing w:after="0" w:line="158"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71"/>
              <w:spacing w:after="0" w:line="158"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0"/>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Non-current assets</w:t>
            </w: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88,042</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83,537</w:t>
            </w:r>
          </w:p>
        </w:tc>
        <w:tc>
          <w:tcPr>
            <w:tcW w:w="26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9, 18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assets</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185,076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Contract assets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assets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Deferred expense</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411,495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448,961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189,637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652,986</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374,713</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Share capital</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193,296</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166,764</w:t>
            </w:r>
          </w:p>
        </w:tc>
        <w:tc>
          <w:tcPr>
            <w:tcW w:w="260" w:type="dxa"/>
            <w:vAlign w:val="bottom"/>
          </w:tcPr>
          <w:p>
            <w:pPr>
              <w:spacing w:after="0"/>
              <w:rPr>
                <w:sz w:val="18"/>
                <w:szCs w:val="18"/>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reserve</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Accumulated losses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(245,771)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(197,753)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(25,487)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(27,229)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(33,115)</w:t>
            </w: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266,153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(49,296</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267,000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(48,206</w:t>
            </w:r>
          </w:p>
        </w:tc>
        <w:tc>
          <w:tcPr>
            <w:tcW w:w="260" w:type="dxa"/>
            <w:vAlign w:val="bottom"/>
          </w:tcPr>
          <w:p>
            <w:pPr>
              <w:jc w:val="right"/>
              <w:ind w:right="180"/>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Financial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205,647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259,865</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264,375</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provisions</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Provisions</w:t>
            </w: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Contract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126,121</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158,544</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385,986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422,920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equity and liabilities</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652,986</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374,713</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59" w:right="41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40" w:type="dxa"/>
            <w:vAlign w:val="bottom"/>
            <w:gridSpan w:val="15"/>
          </w:tcPr>
          <w:p>
            <w:pPr>
              <w:ind w:left="180"/>
              <w:spacing w:after="0"/>
              <w:rPr>
                <w:sz w:val="20"/>
                <w:szCs w:val="20"/>
                <w:color w:val="auto"/>
              </w:rPr>
            </w:pPr>
            <w:r>
              <w:rPr>
                <w:rFonts w:ascii="Arial" w:cs="Arial" w:eastAsia="Arial" w:hAnsi="Arial"/>
                <w:sz w:val="14"/>
                <w:szCs w:val="14"/>
                <w:b w:val="1"/>
                <w:bCs w:val="1"/>
                <w:color w:val="auto"/>
              </w:rPr>
              <w:t>Attributable to the equity holders of the parent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40" w:type="dxa"/>
            <w:vAlign w:val="bottom"/>
            <w:gridSpan w:val="3"/>
            <w:vMerge w:val="restart"/>
          </w:tcPr>
          <w:p>
            <w:pPr>
              <w:jc w:val="center"/>
              <w:ind w:right="280"/>
              <w:spacing w:after="0" w:line="113" w:lineRule="exact"/>
              <w:rPr>
                <w:sz w:val="20"/>
                <w:szCs w:val="20"/>
                <w:color w:val="auto"/>
              </w:rPr>
            </w:pPr>
            <w:r>
              <w:rPr>
                <w:rFonts w:ascii="Arial" w:cs="Arial" w:eastAsia="Arial" w:hAnsi="Arial"/>
                <w:sz w:val="13"/>
                <w:szCs w:val="13"/>
                <w:b w:val="1"/>
                <w:bCs w:val="1"/>
                <w:color w:val="auto"/>
              </w:rPr>
              <w:t>currency</w:t>
            </w: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60" w:type="dxa"/>
            <w:vAlign w:val="bottom"/>
            <w:gridSpan w:val="3"/>
            <w:vMerge w:val="restart"/>
          </w:tcPr>
          <w:p>
            <w:pPr>
              <w:jc w:val="center"/>
              <w:ind w:right="280"/>
              <w:spacing w:after="0" w:line="113"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106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5"/>
                <w:szCs w:val="5"/>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9"/>
              </w:rPr>
              <w:t>Note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60" w:type="dxa"/>
            <w:vAlign w:val="bottom"/>
          </w:tcPr>
          <w:p>
            <w:pPr>
              <w:spacing w:after="0"/>
              <w:rPr>
                <w:sz w:val="12"/>
                <w:szCs w:val="12"/>
                <w:color w:val="auto"/>
              </w:rPr>
            </w:pPr>
          </w:p>
        </w:tc>
        <w:tc>
          <w:tcPr>
            <w:tcW w:w="7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reserve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losses</w:t>
            </w:r>
          </w:p>
        </w:tc>
        <w:tc>
          <w:tcPr>
            <w:tcW w:w="7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reserves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2018</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166,764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(197,753)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(27,206</w:t>
            </w:r>
          </w:p>
        </w:tc>
        <w:tc>
          <w:tcPr>
            <w:tcW w:w="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center"/>
              <w:ind w:left="354"/>
              <w:spacing w:after="0"/>
              <w:rPr>
                <w:sz w:val="20"/>
                <w:szCs w:val="20"/>
                <w:color w:val="auto"/>
              </w:rPr>
            </w:pPr>
            <w:r>
              <w:rPr>
                <w:rFonts w:ascii="Arial" w:cs="Arial" w:eastAsia="Arial" w:hAnsi="Arial"/>
                <w:sz w:val="18"/>
                <w:szCs w:val="18"/>
                <w:b w:val="1"/>
                <w:bCs w:val="1"/>
                <w:color w:val="auto"/>
                <w:w w:val="74"/>
              </w:rPr>
              <w:t>(23)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(49,296</w:t>
            </w:r>
          </w:p>
        </w:tc>
        <w:tc>
          <w:tcPr>
            <w:tcW w:w="1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(48,206</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Loss for the year</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(48,019)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(48,019)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(48,262)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w w:val="79"/>
              </w:rPr>
              <w:t>10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(48,009</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(48,252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w:t>
            </w:r>
          </w:p>
        </w:tc>
        <w:tc>
          <w:tcPr>
            <w:tcW w:w="7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25,949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355,816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355,816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Share-based payments</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7,641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7,641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8"/>
              </w:rPr>
              <w:t>Settlement of share-based payment plan</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w w:val="86"/>
              </w:rPr>
              <w:t>583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193,296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344,115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(245,771)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(25,474</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center"/>
              <w:ind w:left="354"/>
              <w:spacing w:after="0"/>
              <w:rPr>
                <w:sz w:val="20"/>
                <w:szCs w:val="20"/>
                <w:color w:val="auto"/>
              </w:rPr>
            </w:pPr>
            <w:r>
              <w:rPr>
                <w:rFonts w:ascii="Arial" w:cs="Arial" w:eastAsia="Arial" w:hAnsi="Arial"/>
                <w:sz w:val="18"/>
                <w:szCs w:val="18"/>
                <w:b w:val="1"/>
                <w:bCs w:val="1"/>
                <w:color w:val="auto"/>
                <w:w w:val="74"/>
              </w:rPr>
              <w:t>(13)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266,153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w w:val="86"/>
              </w:rPr>
              <w:t>847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267,000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gridSpan w:val="15"/>
          </w:tcPr>
          <w:p>
            <w:pPr>
              <w:ind w:left="180"/>
              <w:spacing w:after="0"/>
              <w:rPr>
                <w:sz w:val="20"/>
                <w:szCs w:val="20"/>
                <w:color w:val="auto"/>
              </w:rPr>
            </w:pPr>
            <w:r>
              <w:rPr>
                <w:rFonts w:ascii="Arial" w:cs="Arial" w:eastAsia="Arial" w:hAnsi="Arial"/>
                <w:sz w:val="14"/>
                <w:szCs w:val="14"/>
                <w:b w:val="1"/>
                <w:bCs w:val="1"/>
                <w:color w:val="auto"/>
              </w:rPr>
              <w:t>Attributable to the equity holders of the parent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3"/>
            <w:vMerge w:val="restart"/>
          </w:tcPr>
          <w:p>
            <w:pPr>
              <w:jc w:val="center"/>
              <w:ind w:right="180"/>
              <w:spacing w:after="0" w:line="113" w:lineRule="exact"/>
              <w:rPr>
                <w:sz w:val="20"/>
                <w:szCs w:val="20"/>
                <w:color w:val="auto"/>
              </w:rPr>
            </w:pPr>
            <w:r>
              <w:rPr>
                <w:rFonts w:ascii="Arial" w:cs="Arial" w:eastAsia="Arial" w:hAnsi="Arial"/>
                <w:sz w:val="13"/>
                <w:szCs w:val="13"/>
                <w:b w:val="1"/>
                <w:bCs w:val="1"/>
                <w:color w:val="auto"/>
                <w:w w:val="98"/>
              </w:rPr>
              <w:t>currency</w:t>
            </w: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3"/>
            <w:vMerge w:val="restart"/>
          </w:tcPr>
          <w:p>
            <w:pPr>
              <w:jc w:val="center"/>
              <w:ind w:right="220"/>
              <w:spacing w:after="0" w:line="113"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5"/>
                <w:szCs w:val="5"/>
                <w:color w:val="auto"/>
              </w:rPr>
            </w:pPr>
          </w:p>
        </w:tc>
        <w:tc>
          <w:tcPr>
            <w:tcW w:w="10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5"/>
                <w:szCs w:val="5"/>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7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9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4"/>
                <w:szCs w:val="14"/>
                <w:b w:val="1"/>
                <w:bCs w:val="1"/>
                <w:i w:val="1"/>
                <w:iCs w:val="1"/>
                <w:color w:val="auto"/>
              </w:rPr>
              <w:t>Notes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reserve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reserves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reserve</w:t>
            </w:r>
          </w:p>
        </w:tc>
        <w:tc>
          <w:tcPr>
            <w:tcW w:w="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January 1, 2017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3,270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172,416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(112,100)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(33,115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center"/>
              <w:ind w:left="218"/>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30,471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Loss for the year</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(85,653)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center"/>
              <w:ind w:left="2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(85,653)</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(85,950)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(23)</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(85,653)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6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7"/>
                <w:szCs w:val="17"/>
                <w:b w:val="1"/>
                <w:bCs w:val="1"/>
                <w:color w:val="auto"/>
                <w:w w:val="72"/>
              </w:rPr>
              <w:t>(23)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(85,676</w:t>
            </w:r>
          </w:p>
        </w:tc>
        <w:tc>
          <w:tcPr>
            <w:tcW w:w="120" w:type="dxa"/>
            <w:vAlign w:val="bottom"/>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100" w:type="dxa"/>
            <w:vAlign w:val="bottom"/>
            <w:gridSpan w:val="2"/>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(85,973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 capital</w:t>
            </w:r>
          </w:p>
        </w:tc>
        <w:tc>
          <w:tcPr>
            <w:tcW w:w="6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9"/>
              </w:rPr>
              <w:t>15</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163,494</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(163,494)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58"/>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Share-based payments</w:t>
            </w:r>
          </w:p>
        </w:tc>
        <w:tc>
          <w:tcPr>
            <w:tcW w:w="680" w:type="dxa"/>
            <w:vAlign w:val="bottom"/>
            <w:gridSpan w:val="3"/>
          </w:tcPr>
          <w:p>
            <w:pPr>
              <w:ind w:left="460"/>
              <w:spacing w:after="0"/>
              <w:rPr>
                <w:sz w:val="20"/>
                <w:szCs w:val="20"/>
                <w:color w:val="auto"/>
              </w:rPr>
            </w:pPr>
            <w:r>
              <w:rPr>
                <w:rFonts w:ascii="Arial" w:cs="Arial" w:eastAsia="Arial" w:hAnsi="Arial"/>
                <w:sz w:val="18"/>
                <w:szCs w:val="18"/>
                <w:color w:val="auto"/>
                <w:w w:val="99"/>
              </w:rPr>
              <w:t>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5,909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gridSpan w:val="2"/>
          </w:tcPr>
          <w:p>
            <w:pPr>
              <w:jc w:val="center"/>
              <w:ind w:left="21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5,909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166,764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8,922</w:t>
            </w:r>
          </w:p>
        </w:tc>
        <w:tc>
          <w:tcPr>
            <w:tcW w:w="1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(197,753)</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(27,206)</w:t>
            </w:r>
          </w:p>
        </w:tc>
        <w:tc>
          <w:tcPr>
            <w:tcW w:w="940" w:type="dxa"/>
            <w:vAlign w:val="bottom"/>
            <w:gridSpan w:val="5"/>
            <w:shd w:val="clear" w:color="auto" w:fill="CCEEFF"/>
          </w:tcPr>
          <w:p>
            <w:pPr>
              <w:ind w:left="540"/>
              <w:spacing w:after="0"/>
              <w:rPr>
                <w:sz w:val="20"/>
                <w:szCs w:val="20"/>
                <w:color w:val="auto"/>
              </w:rPr>
            </w:pPr>
            <w:r>
              <w:rPr>
                <w:rFonts w:ascii="Arial" w:cs="Arial" w:eastAsia="Arial" w:hAnsi="Arial"/>
                <w:sz w:val="18"/>
                <w:szCs w:val="18"/>
                <w:b w:val="1"/>
                <w:bCs w:val="1"/>
                <w:color w:val="auto"/>
              </w:rPr>
              <w:t>(23)</w:t>
            </w:r>
          </w:p>
        </w:tc>
        <w:tc>
          <w:tcPr>
            <w:tcW w:w="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(49,296)</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29"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Year ended</w:t>
      </w:r>
    </w:p>
    <w:p>
      <w:pPr>
        <w:jc w:val="center"/>
        <w:ind w:left="89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Loss for the year</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 (48,262)</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(47,662</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and equipment and intangible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21,984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expense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Net foreign exchange differences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Gain/(Loss) on disposal of property, plant and equipment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Finance income</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(1,996)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lease liability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Finance expense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of an associate and a joint venture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Movements in provisions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Decrease/(Increase) in trade receivable and contract assets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(18,732)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Decrease/(Increase) in inventories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(Decrease)/Increase in trade and other payables, contract liabilities and refund liabilities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(20,976)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Interest paid</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(58,180</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(52,562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(30,598)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 (67,148)</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(52,549)</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 capital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Proceeds from loans and borrowings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365,177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239,848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Change in cash resulting from exchange rate differences</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1 January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31 December</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411,495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172,106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60" w:right="41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BioNTech AG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financial statements</w:t>
      </w:r>
    </w:p>
    <w:p>
      <w:pPr>
        <w:spacing w:after="0" w:line="112" w:lineRule="exact"/>
        <w:rPr>
          <w:sz w:val="20"/>
          <w:szCs w:val="20"/>
          <w:color w:val="auto"/>
        </w:rPr>
      </w:pPr>
    </w:p>
    <w:p>
      <w:pPr>
        <w:ind w:left="980" w:hanging="776"/>
        <w:spacing w:after="0"/>
        <w:tabs>
          <w:tab w:leader="none" w:pos="98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BioNTech AG is a limited company incorporated and domiciled in Germany. Its shares are not publicly traded. The registered office is located in Mainz, An der Goldgrube 12, 55131 Germany. The accompanying International Financial Reporting Standards (IFRS) consolidated financial statements present the financial position and the results of operation of BioNTech AG and its subsidiaries, hereinafter also referred to as “BioNTech” or the “Group”. Effective March 8, 2019, BioNTech AG changed its name and legal form to BioNTech SE. The Group is principally engaged in developing innovative immunotherapies for the individualized treatment of cancer and other infectious diseases.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Information on the Group’s structure is provided in Note 5. Information on other related party relationships of the Group is provided in Note 26.</w:t>
      </w:r>
    </w:p>
    <w:p>
      <w:pPr>
        <w:spacing w:after="0" w:line="248"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consolidated financial statements of the Group for the year ended December 31, 2018 were authorized for issue in accordance with a resolution of the directors on June 18, 2019.</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BioNTech prepares and publishes its consolidated financial statements in Euros. Unless otherwise stated, the numbers are rounded to thousands of Euros.</w:t>
      </w:r>
    </w:p>
    <w:p>
      <w:pPr>
        <w:spacing w:after="0" w:line="315" w:lineRule="exact"/>
        <w:rPr>
          <w:sz w:val="20"/>
          <w:szCs w:val="20"/>
          <w:color w:val="auto"/>
        </w:rPr>
      </w:pPr>
    </w:p>
    <w:p>
      <w:pPr>
        <w:ind w:left="980" w:hanging="776"/>
        <w:spacing w:after="0"/>
        <w:tabs>
          <w:tab w:leader="none" w:pos="98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30"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b w:val="1"/>
          <w:bCs w:val="1"/>
          <w:color w:val="auto"/>
        </w:rPr>
        <w:t>Basis of preparation</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consolidated financial statements have been prepared on a going concern basis in accordance with the IFRS as issued by the International Accounting Standards Board (IASB).</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BioNTech adopted IFRS for the first time on January 1, 2017 and therefore, an additional statement of financial position as of January 1, 2017 is presented in these consolidated financial statements due to the first-time adoption of IFRS.</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Basis of consolidation</w:t>
      </w:r>
    </w:p>
    <w:p>
      <w:pPr>
        <w:spacing w:after="0" w:line="121"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The consolidated financial statements comprise the financial statements of the Company and its controlled investees (subsidiaries) as at December 31, 2018.</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controls an investee if, and only if, the Group has</w:t>
      </w:r>
    </w:p>
    <w:p>
      <w:pPr>
        <w:spacing w:after="0" w:line="131" w:lineRule="exact"/>
        <w:rPr>
          <w:sz w:val="20"/>
          <w:szCs w:val="20"/>
          <w:color w:val="auto"/>
        </w:rPr>
      </w:pPr>
    </w:p>
    <w:p>
      <w:pPr>
        <w:ind w:left="1180" w:hanging="436"/>
        <w:spacing w:after="0"/>
        <w:tabs>
          <w:tab w:leader="none" w:pos="11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power over the investee (</w:t>
      </w:r>
      <w:r>
        <w:rPr>
          <w:rFonts w:ascii="Arial" w:cs="Arial" w:eastAsia="Arial" w:hAnsi="Arial"/>
          <w:sz w:val="18"/>
          <w:szCs w:val="18"/>
          <w:i w:val="1"/>
          <w:iCs w:val="1"/>
          <w:color w:val="auto"/>
        </w:rPr>
        <w:t>i.e.</w:t>
      </w:r>
      <w:r>
        <w:rPr>
          <w:rFonts w:ascii="Arial" w:cs="Arial" w:eastAsia="Arial" w:hAnsi="Arial"/>
          <w:sz w:val="18"/>
          <w:szCs w:val="18"/>
          <w:color w:val="auto"/>
        </w:rPr>
        <w:t>, existing rights that give it the current ability to direct the relevant activities of the investee);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exposure, or rights, to variable returns from its involvement with the investee;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ability to use its power over the investee to affect its returns.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Generally, there is a presumption that a majority of voting rights results in control.</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Group re-assesses whether it controls an investee if facts and circumstances indicate that there are changes to one or more of the three elements of control. Consolidation of a subsidiary begins when the Group obtains control over the subsidiary and ceases when the Group loses control of the subsidiary. Assets, liabilities, income and expenses of a subsidiary acquired or disposed of during the year are included in the consolidated financial statements from the date the Group gains control of the subsidiary until the date the Group ceases to control the subsidiary.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statement of profit or loss and each component of other comprehensive income are attributed to the equity holders of the parent of the Group and to the non-controlling interests, even if this results in the non-controlling interests having a deficit balance. When necessary, adjustments are made to the financial statements of subsidiaries to bring their accounting policies in line with the Group’s accounting policies. All intra-group assets and liabilities, equity, income, expenses and cash flows relating to transactions between members of the Group are eliminated in full on consolidation.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change in the ownership interest of a subsidiary, without a loss of control, is accounted for as an equity transaction.</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If the Group loses control over a subsidiary, it derecognizes the related assets (including goodwill), liabilities, non-controlling interests and other components of equity, while any resultant gain or loss is recognized in the statement of profit or loss. Any investment retained is recognized at fair value.</w:t>
      </w:r>
    </w:p>
    <w:p>
      <w:pPr>
        <w:spacing w:after="0" w:line="32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5"/>
          <w:szCs w:val="15"/>
          <w:b w:val="1"/>
          <w:bCs w:val="1"/>
          <w:color w:val="auto"/>
        </w:rPr>
        <w:t>Business combinations and goodwill</w:t>
      </w:r>
    </w:p>
    <w:p>
      <w:pPr>
        <w:spacing w:after="0" w:line="121" w:lineRule="exact"/>
        <w:rPr>
          <w:sz w:val="20"/>
          <w:szCs w:val="20"/>
          <w:color w:val="auto"/>
        </w:rPr>
      </w:pPr>
    </w:p>
    <w:p>
      <w:pPr>
        <w:jc w:val="both"/>
        <w:ind w:left="200" w:right="980" w:firstLine="441"/>
        <w:spacing w:after="0" w:line="342" w:lineRule="auto"/>
        <w:rPr>
          <w:sz w:val="20"/>
          <w:szCs w:val="20"/>
          <w:color w:val="auto"/>
        </w:rPr>
      </w:pPr>
      <w:r>
        <w:rPr>
          <w:rFonts w:ascii="Arial" w:cs="Arial" w:eastAsia="Arial" w:hAnsi="Arial"/>
          <w:sz w:val="16"/>
          <w:szCs w:val="16"/>
          <w:color w:val="auto"/>
        </w:rPr>
        <w:t>Business combinations are accounted for using the acquisition method. The cost of an acquisition is measured as the aggregate of the consideration transferred, which is measured at acquisition date fair value, and the amount of any non-controlling interests in the acquiree.</w:t>
      </w:r>
    </w:p>
    <w:p>
      <w:pPr>
        <w:spacing w:after="0" w:line="124" w:lineRule="exact"/>
        <w:rPr>
          <w:sz w:val="20"/>
          <w:szCs w:val="20"/>
          <w:color w:val="auto"/>
        </w:rPr>
      </w:pPr>
    </w:p>
    <w:p>
      <w:pPr>
        <w:ind w:left="200" w:right="1140" w:firstLine="441"/>
        <w:spacing w:after="0" w:line="342" w:lineRule="auto"/>
        <w:rPr>
          <w:sz w:val="20"/>
          <w:szCs w:val="20"/>
          <w:color w:val="auto"/>
        </w:rPr>
      </w:pPr>
      <w:r>
        <w:rPr>
          <w:rFonts w:ascii="Arial" w:cs="Arial" w:eastAsia="Arial" w:hAnsi="Arial"/>
          <w:sz w:val="16"/>
          <w:szCs w:val="16"/>
          <w:color w:val="auto"/>
        </w:rPr>
        <w:t>Goodwill is initially measured at cost as the excess of the aggregate of the consideration transferred and the amount recognized for non-controlling interests and any previous interest held over the net identifiable assets acquired and liabilities assumed.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After initial recognition, goodwill is tested at least annually or when there is an indication for impairment. See Note 2.3.13.</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Current versus non-current classifications</w:t>
      </w:r>
    </w:p>
    <w:p>
      <w:pPr>
        <w:spacing w:after="0" w:line="12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Group presents assets and liabilities in the consolidated statements of financial position based on current or non-current classification. An asset is current when it is either: (i) expected to be realized within 12 months after the reporting period or (ii) cash or cash equivalents, unless it is restricted from being exchanged or used to settle a liability for at least 12 months after the reporting period. All other assets are classified as non-current. A liability is current when it is due to be settled within 12 months after the reporting period. The Group classifies all other liabilities as non-current.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 assets and liabilities are classified as non-current assets and liabilities, respectively.</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6"/>
          <w:szCs w:val="16"/>
          <w:b w:val="1"/>
          <w:bCs w:val="1"/>
          <w:color w:val="auto"/>
        </w:rPr>
        <w:t>Fair value measurement</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w:t>
      </w:r>
    </w:p>
    <w:p>
      <w:pPr>
        <w:spacing w:after="0" w:line="92" w:lineRule="exact"/>
        <w:rPr>
          <w:sz w:val="20"/>
          <w:szCs w:val="20"/>
          <w:color w:val="auto"/>
        </w:rPr>
      </w:pPr>
    </w:p>
    <w:p>
      <w:pPr>
        <w:ind w:left="1180" w:hanging="436"/>
        <w:spacing w:after="0"/>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Level 1 contains the use of quoted prices in active markets for identical assets or liabilities.</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Level 3 inputs are unobservable.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Within this hierarchy, estimated values are made by management based on reasonable assumptions, including other fair value methods.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For assets and liabilities that are recognized in the financial statements at fair value on a recurring basis, the Group determines whether transfers have occurred between levels in the fair value hierarchy by re-assessing categorization (based on the lowest level input that is significant to the fair value measurement as a whole) at the end of each reporting period.</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For the purpose of fair value disclosures, the Group has determined classes of assets and liabilities on the basis of the nature, characteristics and risks of the asset or liability and the level of the fair value hierarchy, as explained above.</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5"/>
          <w:szCs w:val="15"/>
          <w:b w:val="1"/>
          <w:bCs w:val="1"/>
          <w:color w:val="auto"/>
        </w:rPr>
        <w:t>Revenue from contracts with customers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IFRS 15</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applying IFRS 15 effective January 1, 2017, the Group has used the following practical expedients permitted by the standard:</w:t>
      </w:r>
    </w:p>
    <w:p>
      <w:pPr>
        <w:spacing w:after="0" w:line="131" w:lineRule="exact"/>
        <w:rPr>
          <w:sz w:val="20"/>
          <w:szCs w:val="20"/>
          <w:color w:val="auto"/>
        </w:rPr>
      </w:pPr>
    </w:p>
    <w:p>
      <w:pPr>
        <w:ind w:left="1180" w:right="80" w:hanging="436"/>
        <w:spacing w:after="0" w:line="277" w:lineRule="auto"/>
        <w:tabs>
          <w:tab w:leader="none" w:pos="11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for completed contracts that have variable consideration, the transaction price at the date the contract was completed was used rather than estimating variable consideration amounts; and</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for contracts that were modified before the beginning of the earliest period presented, the aggregate effect of all of the modifications that occurred before the beginning of the earliest period presented were reflected.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Revenue from contracts with customers is recognized when control of the goods or services are transferred to the customer at an amount that reflects the consideration to which BioNTech expects to be entitled in exchange for those goods or services. If a contract with a customer contains more than one performance obligation, the transaction price is allocated to each performance obligation on a relative-stand-alone selling price basis. BioNTech has generally concluded that it acts as the principal in its revenue arrangements because it typically controls the goods or services before transferring them to the customer. The following is a description of these activities.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from collaboration and license agreements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BioNTech generates revenues from collaboration and license agreements under which BioNTech grants licenses to use, research, develop, manufacture and commercialize product candidates and products. If the grant of a license is bundled together with the rendering of services, it is assessed whether these agreements are comprised of more than one performance obligation. A performance obligation is only accounted for as the grant of a license if the grant of a license is the sole or the predominant promise of the performance obligation. For each promise to grant a license that is a separate performance obligation, it is considered whether control is transferred to a licensee either at a point in time or over time. Under the terms of its licensing arrangements, BioNTech provides the licensee with a right to access BioNTech’s intellectual property as it exists throughout the license period (as BioNTech’s intellectual property is still subject to further research). Therefore, the promise to grant a license is accounted for as a performance obligation satisfied over time, as the licensee simultaneously receives and consumes the benefits of BioNTech’s performance.</w:t>
      </w:r>
    </w:p>
    <w:p>
      <w:pPr>
        <w:spacing w:after="0" w:line="166"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If the consideration in an agreement includes a variable amount, BioNTech estimates the amount of consideration to which BioNTech will be entitled in exchange for transferring the goods to the customer. At contract inception, the variable consideration is estimated based on the most likely amount of consideration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60"/>
          </w:cols>
          <w:pgMar w:left="240" w:top="459" w:right="49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86" w:lineRule="auto"/>
        <w:rPr>
          <w:sz w:val="20"/>
          <w:szCs w:val="20"/>
          <w:color w:val="auto"/>
        </w:rPr>
      </w:pPr>
      <w:r>
        <w:rPr>
          <w:rFonts w:ascii="Arial" w:cs="Arial" w:eastAsia="Arial" w:hAnsi="Arial"/>
          <w:sz w:val="17"/>
          <w:szCs w:val="17"/>
          <w:color w:val="auto"/>
        </w:rPr>
        <w:t>expected from the transaction and constrained until it is highly probable that a significant revenue reversal in the amount of cumulative revenue recognized will not occur when the associated uncertainty with respect the variable consideration is subsequently resolved. The estimated deferred revenue is updated at each reporting date to reflect the current facts and circumstances.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Rendering of services</w:t>
      </w:r>
    </w:p>
    <w:p>
      <w:pPr>
        <w:spacing w:after="0" w:line="121"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BioNTech provides development and manufacturing services to customers and recognizes revenue over time using an input-based method to measure progress toward complete satisfaction of the services because the customer simultaneously receives and consumes the benefits provided by BioNTech. If BioNTech has a right to consideration from a customer in the amount that corresponds directly with the value to the customer of BioNTech’s performance completed to date (for example, service contracts in which BioNTech bills a fixed amount for each hour or day of service provided), BioNTech recognizes revenue in the amount for which BioNTech has a right to invoice the customer.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products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Revenue from the sale of medical products (</w:t>
      </w:r>
      <w:r>
        <w:rPr>
          <w:rFonts w:ascii="Arial" w:cs="Arial" w:eastAsia="Arial" w:hAnsi="Arial"/>
          <w:sz w:val="16"/>
          <w:szCs w:val="16"/>
          <w:i w:val="1"/>
          <w:iCs w:val="1"/>
          <w:color w:val="auto"/>
        </w:rPr>
        <w:t>e.g</w:t>
      </w:r>
      <w:r>
        <w:rPr>
          <w:rFonts w:ascii="Arial" w:cs="Arial" w:eastAsia="Arial" w:hAnsi="Arial"/>
          <w:sz w:val="16"/>
          <w:szCs w:val="16"/>
          <w:color w:val="auto"/>
        </w:rPr>
        <w:t>., peptides and retroviral vectors for clinical supply) is recognized when BioNTech transfers control of the product to the customer. Control of the product normally transfers when the customer gains physical possession and BioNTech has not retained any significant risks of ownership or future obligations with respect to the product. A receivable is recognized, as the consideration is unconditional and only the passage of time is required before payment is due. The transaction price is quoted in the relevant price lists in force at the date of customer placing the respective order for such products. Payments from customers are due within 20 days (Europe) or 30 days (non-Europe) after invoice.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balances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assets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A contract asset is the right to consideration in exchange for goods or services transferred to the customer. If BioNTech performs by transferring goods or services to a customer before the customer pays consideration or before payment is due, a contract asset is recognized for the earned consideration that is conditional.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 receivables</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receivable represents BioNTech’s right to an amount of consideration that is unconditional (</w:t>
      </w:r>
      <w:r>
        <w:rPr>
          <w:rFonts w:ascii="Arial" w:cs="Arial" w:eastAsia="Arial" w:hAnsi="Arial"/>
          <w:sz w:val="18"/>
          <w:szCs w:val="18"/>
          <w:i w:val="1"/>
          <w:iCs w:val="1"/>
          <w:color w:val="auto"/>
        </w:rPr>
        <w:t>i.e</w:t>
      </w:r>
      <w:r>
        <w:rPr>
          <w:rFonts w:ascii="Arial" w:cs="Arial" w:eastAsia="Arial" w:hAnsi="Arial"/>
          <w:sz w:val="18"/>
          <w:szCs w:val="18"/>
          <w:color w:val="auto"/>
        </w:rPr>
        <w:t>., only the passage of time is required before payment of the consideration is due).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 liabilities</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contract liability is the obligation to transfer goods or services to a customer for which BioNTech has received consideration (or an amount of consideration is due) from the customer. If a customer pays consideration before BioNTech transfers goods or services to the customer, a contract liability is recognized when the payment is made or when the payment is due (whichever is earlier). Contract liabilities are recognized as revenue when BioNTech performs under the contract.</w:t>
      </w:r>
    </w:p>
    <w:p>
      <w:pPr>
        <w:spacing w:after="0" w:line="3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6"/>
          <w:szCs w:val="16"/>
          <w:b w:val="1"/>
          <w:bCs w:val="1"/>
          <w:color w:val="auto"/>
        </w:rPr>
        <w:t>Government grants</w:t>
      </w:r>
    </w:p>
    <w:p>
      <w:pPr>
        <w:spacing w:after="0" w:line="121"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Government grants are recognized where there is reasonable assurance that the grant will be received and all attached conditions will be complied with. When the grant relates to an expense item, it is recognized as income on a systematic basis over the periods that the related costs, for which the grant is intended to compensate, are expensed. When the grant relates to an asset, it is recognized as deduction in calculating the carrying amount of the asset and thus in the statement of profit or loss over the life of the depreciable asset as a reduced depreciation expense.</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24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4"/>
          <w:szCs w:val="14"/>
          <w:b w:val="1"/>
          <w:bCs w:val="1"/>
          <w:color w:val="auto"/>
        </w:rPr>
        <w:t>Taxes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 income tax</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The tax rates and tax laws used to compute the amount are those that are enacted or substantively enacted at the reporting date in the countries where the Group operates and generates taxable income.</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Management periodically evaluates positions taken in the tax returns with respect to situations in which applicable tax regulations are subject to interpretation and establishes provisions where appropriate.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tax</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 liabilities are recognized for all taxable temporary differences, except:</w:t>
      </w:r>
    </w:p>
    <w:p>
      <w:pPr>
        <w:spacing w:after="0" w:line="131" w:lineRule="exact"/>
        <w:rPr>
          <w:sz w:val="20"/>
          <w:szCs w:val="20"/>
          <w:color w:val="auto"/>
        </w:rPr>
      </w:pPr>
    </w:p>
    <w:p>
      <w:pPr>
        <w:ind w:left="1180" w:right="260" w:hanging="436"/>
        <w:spacing w:after="0" w:line="277" w:lineRule="auto"/>
        <w:tabs>
          <w:tab w:leader="none" w:pos="11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when the deferred tax liability arises from the initial recognition of goodwill or an asset or liability in a transaction that is not a business combination and, at the time of the transaction, affects neither the accounting profit nor taxable profit or loss; or</w:t>
      </w:r>
    </w:p>
    <w:p>
      <w:pPr>
        <w:spacing w:after="0" w:line="75" w:lineRule="exact"/>
        <w:rPr>
          <w:rFonts w:ascii="Arial" w:cs="Arial" w:eastAsia="Arial" w:hAnsi="Arial"/>
          <w:sz w:val="18"/>
          <w:szCs w:val="18"/>
          <w:color w:val="auto"/>
        </w:rPr>
      </w:pPr>
    </w:p>
    <w:p>
      <w:pPr>
        <w:jc w:val="both"/>
        <w:ind w:left="1180" w:right="20" w:hanging="436"/>
        <w:spacing w:after="0" w:line="264" w:lineRule="auto"/>
        <w:tabs>
          <w:tab w:leader="none" w:pos="11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respect of taxable temporary differences associated with investments in subsidiaries, associates and interests in joint arrangements, when the timing of the reversal of the temporary differences can be controlled and it is probable that the temporary differences will not reverse in the foreseeable future.</w:t>
      </w:r>
    </w:p>
    <w:p>
      <w:pPr>
        <w:spacing w:after="0" w:line="18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Deferred tax assets are recognized for all deductible temporary differences, the carry forward of unused tax credits and any unused tax losses. Deferred tax assets are recognized to the extent that it is probable that taxable profit will be available against which the deductible temporary differences, the carry forward of unused tax credits and unused tax losses can be utilized, except:</w:t>
      </w:r>
    </w:p>
    <w:p>
      <w:pPr>
        <w:spacing w:after="0" w:line="87" w:lineRule="exact"/>
        <w:rPr>
          <w:sz w:val="20"/>
          <w:szCs w:val="20"/>
          <w:color w:val="auto"/>
        </w:rPr>
      </w:pPr>
    </w:p>
    <w:p>
      <w:pPr>
        <w:ind w:left="1180" w:right="180" w:hanging="436"/>
        <w:spacing w:after="0" w:line="264" w:lineRule="auto"/>
        <w:tabs>
          <w:tab w:leader="none" w:pos="11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 or</w:t>
      </w:r>
    </w:p>
    <w:p>
      <w:pPr>
        <w:spacing w:after="0" w:line="86"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 respect of deductible temporary differences associated with investments in subsidiaries, associates and interests in joint arrangements, deferred tax assets are recognized only to the extent that it is probable that the temporary differences will reverse in the foreseeable future and taxable profit will be available against which the temporary differences can be utilized.</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Deferred tax assets and liabilities are measured at the tax rates that are expected to apply in the year in which the asset is realized, or the liability is settled, based on tax rates (and tax laws) that have been enacted or substantively enacted at the reporting date.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 items are recognized in relation to the underlying transaction either in other comprehensive income or directly in equity.</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Group offsets deferred tax assets and deferred tax liabilities only if it has a legally enforceable right to set off current tax assets and current tax liabilities and the deferred tax assets and deferred tax liabilities relate to income taxes levied by the same taxation authority on either (i) the same taxable entity or (ii) different taxable entities which intend either to settle current tax liabilities and assets on a net basis, or to realize the assets and settle the liabilities simultaneously, in each future period in which significant amounts of deferred tax liabilities or assets are expected to be settled or recovered.</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60"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tax</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Expenses and assets are recognized net of sales tax, except when the sales tax incurred on a purchase of assets or services is not recoverable from the taxation authority.</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net amount of sales tax recoverable from, or payable to, the taxation authority is included as part of receivables or payables in the statement of financial position.</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2.3.7</w:t>
      </w:r>
      <w:r>
        <w:rPr>
          <w:sz w:val="20"/>
          <w:szCs w:val="20"/>
          <w:color w:val="auto"/>
        </w:rPr>
        <w:tab/>
      </w:r>
      <w:r>
        <w:rPr>
          <w:rFonts w:ascii="Arial" w:cs="Arial" w:eastAsia="Arial" w:hAnsi="Arial"/>
          <w:sz w:val="15"/>
          <w:szCs w:val="15"/>
          <w:b w:val="1"/>
          <w:bCs w:val="1"/>
          <w:color w:val="auto"/>
        </w:rPr>
        <w:t>Foreign currencies</w:t>
      </w:r>
    </w:p>
    <w:p>
      <w:pPr>
        <w:spacing w:after="0" w:line="121"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color w:val="auto"/>
        </w:rPr>
        <w:t>The Group’s consolidated financial statements are presented in Euros, which is also the parent company’s functional currency. For each entity, the Group determines the functional currency, and items included in the financial statements of such entity are measured using that functional currency. The Group uses the direct method of consolidation and on disposal of a foreign operation, the gain or loss that is reclassified to the statement of profit or loss reflects the amount that arises from using this method.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and balances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Transactions in foreign currencies are initially recorded by the Group’s entities at their respective functional currency spot rates at the date the transaction first qualifies for recognition.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Non-monetary items that are measured in terms of historical cost in a foreign currency are translated using the exchange rates at the dates of the initial transactions.</w:t>
      </w:r>
    </w:p>
    <w:p>
      <w:pPr>
        <w:spacing w:after="0" w:line="170"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In determining the spot exchange rate to use on initial recognition of the related asset, expense or income (or part of it) on the derecognition of a non-monetary asset or non-monetary liability relating to advance consideration, the date of the transaction is the date on which the Group initially recognizes the non-monetary asset or non-monetary liability arising from the advance consideration. If there are multiple payments or receipts in advance, the Group determines the transaction date for each payment or receipt of advance consideration.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On consolidation, the assets and liabilities of foreign operations are translated into Euros at the rate of exchange prevailing at the reporting date and their statements of profit or loss are translated at exchange rates prevailing at the dates of the transactions.</w:t>
      </w:r>
    </w:p>
    <w:p>
      <w:pPr>
        <w:spacing w:after="0" w:line="170" w:lineRule="exact"/>
        <w:rPr>
          <w:sz w:val="20"/>
          <w:szCs w:val="20"/>
          <w:color w:val="auto"/>
        </w:rPr>
      </w:pPr>
    </w:p>
    <w:p>
      <w:pPr>
        <w:ind w:left="200" w:right="660" w:firstLine="441"/>
        <w:spacing w:after="0" w:line="342" w:lineRule="auto"/>
        <w:rPr>
          <w:sz w:val="20"/>
          <w:szCs w:val="20"/>
          <w:color w:val="auto"/>
        </w:rPr>
      </w:pPr>
      <w:r>
        <w:rPr>
          <w:rFonts w:ascii="Arial" w:cs="Arial" w:eastAsia="Arial" w:hAnsi="Arial"/>
          <w:sz w:val="16"/>
          <w:szCs w:val="16"/>
          <w:color w:val="auto"/>
        </w:rPr>
        <w:t>The exchange differences arising on translation for consolidation are recognized in other comprehensive income. On disposal of a foreign operation, the component of other comprehensive income relating to that particular foreign operation is reclassified to profit or loss.</w:t>
      </w:r>
    </w:p>
    <w:p>
      <w:pPr>
        <w:spacing w:after="0" w:line="124"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Any goodwill arising on the acquisition of a foreign operation and any fair value adjustments to the carrying amounts of assets and liabilities arising upon the acquisition are treated as assets and liabilities of the foreign operation and translated at the spot rate of exchange at the reporting date.</w:t>
      </w:r>
    </w:p>
    <w:p>
      <w:pPr>
        <w:spacing w:after="0" w:line="26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6"/>
          <w:szCs w:val="16"/>
          <w:b w:val="1"/>
          <w:bCs w:val="1"/>
          <w:color w:val="auto"/>
        </w:rPr>
        <w:t>Property, plant and equipment</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Construction in progress is stated at cost, net of accumulated impairment losses, if any. Property, plant and equipment are stated at cost, net of accumulated depreciation and accumulated impairment losses, if any. Such cost includes the cost of replacing part of the property, plant and equipment if the recognition criteria are met. All other repair and maintenance costs are expensed as incurred.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w w:val="92"/>
              </w:rPr>
              <w:t>Property, plant and equipment</w:t>
            </w:r>
          </w:p>
        </w:tc>
        <w:tc>
          <w:tcPr>
            <w:tcW w:w="2740" w:type="dxa"/>
            <w:vAlign w:val="bottom"/>
            <w:vMerge w:val="restart"/>
          </w:tcPr>
          <w:p>
            <w:pPr>
              <w:spacing w:after="0"/>
              <w:rPr>
                <w:sz w:val="14"/>
                <w:szCs w:val="14"/>
                <w:color w:val="auto"/>
              </w:rPr>
            </w:pPr>
          </w:p>
        </w:tc>
        <w:tc>
          <w:tcPr>
            <w:tcW w:w="2840" w:type="dxa"/>
            <w:vAlign w:val="bottom"/>
            <w:gridSpan w:val="2"/>
          </w:tcPr>
          <w:p>
            <w:pPr>
              <w:jc w:val="center"/>
              <w:ind w:left="2139"/>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190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2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7-33</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Equipment, tools and installations</w:t>
            </w:r>
          </w:p>
        </w:tc>
        <w:tc>
          <w:tcPr>
            <w:tcW w:w="2840" w:type="dxa"/>
            <w:vAlign w:val="bottom"/>
            <w:gridSpan w:val="2"/>
          </w:tcPr>
          <w:p>
            <w:pPr>
              <w:jc w:val="center"/>
              <w:ind w:left="2119"/>
              <w:spacing w:after="0"/>
              <w:rPr>
                <w:sz w:val="20"/>
                <w:szCs w:val="20"/>
                <w:color w:val="auto"/>
              </w:rPr>
            </w:pPr>
            <w:r>
              <w:rPr>
                <w:rFonts w:ascii="Arial" w:cs="Arial" w:eastAsia="Arial" w:hAnsi="Arial"/>
                <w:sz w:val="18"/>
                <w:szCs w:val="18"/>
                <w:color w:val="auto"/>
                <w:w w:val="88"/>
              </w:rPr>
              <w:t>3-15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An item of property, plant and equipment initially recognized is derecognized upon disposal (</w:t>
      </w:r>
      <w:r>
        <w:rPr>
          <w:rFonts w:ascii="Arial" w:cs="Arial" w:eastAsia="Arial" w:hAnsi="Arial"/>
          <w:sz w:val="16"/>
          <w:szCs w:val="16"/>
          <w:i w:val="1"/>
          <w:iCs w:val="1"/>
          <w:color w:val="auto"/>
        </w:rPr>
        <w:t>i.e</w:t>
      </w:r>
      <w:r>
        <w:rPr>
          <w:rFonts w:ascii="Arial" w:cs="Arial" w:eastAsia="Arial" w:hAnsi="Arial"/>
          <w:sz w:val="16"/>
          <w:szCs w:val="16"/>
          <w:color w:val="auto"/>
        </w:rPr>
        <w:t>., at the date the recipient obtains control) or when no future economic benefits are expected from its use or disposal. Any gain or loss arising on derecognition of the asset (calculated as the difference between the net disposal proceeds and the carrying amount of the asset) is included in the statement of profit or loss when the asset is derecognized.</w:t>
      </w:r>
    </w:p>
    <w:p>
      <w:pPr>
        <w:spacing w:after="0" w:line="14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4"/>
          <w:szCs w:val="14"/>
          <w:b w:val="1"/>
          <w:bCs w:val="1"/>
          <w:color w:val="auto"/>
        </w:rPr>
        <w:t>Leases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adopted IFRS 16 Leases for annual periods beginning on January 1, 2017.</w:t>
      </w:r>
    </w:p>
    <w:p>
      <w:pPr>
        <w:spacing w:after="0" w:line="225"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At the inception of a contract, the Group assesses whether the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Group assesses whether:</w:t>
      </w:r>
    </w:p>
    <w:p>
      <w:pPr>
        <w:spacing w:after="0" w:line="87" w:lineRule="exact"/>
        <w:rPr>
          <w:sz w:val="20"/>
          <w:szCs w:val="20"/>
          <w:color w:val="auto"/>
        </w:rPr>
      </w:pPr>
    </w:p>
    <w:p>
      <w:pPr>
        <w:ind w:left="1180" w:right="140" w:hanging="436"/>
        <w:spacing w:after="0" w:line="264" w:lineRule="auto"/>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asset—this may be specified explicitly or implicitly and should be physically distinct or represent substantially all of the capacity of a physically distinct asset. If the supplier has a substantive substitution right, then the asset is not identified;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Group has the right to obtain substantially all of the economic benefits from use of the asset throughout the period of use; and</w:t>
      </w:r>
    </w:p>
    <w:p>
      <w:pPr>
        <w:spacing w:after="0" w:line="142" w:lineRule="exact"/>
        <w:rPr>
          <w:rFonts w:ascii="Arial" w:cs="Arial" w:eastAsia="Arial" w:hAnsi="Arial"/>
          <w:sz w:val="17"/>
          <w:szCs w:val="17"/>
          <w:color w:val="auto"/>
        </w:rPr>
      </w:pPr>
    </w:p>
    <w:p>
      <w:pPr>
        <w:jc w:val="both"/>
        <w:ind w:left="1180" w:right="40" w:hanging="436"/>
        <w:spacing w:after="0" w:line="264" w:lineRule="auto"/>
        <w:tabs>
          <w:tab w:leader="none" w:pos="11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Group has the right to direct the use of the asset. The Group has this right when it has the decision-making rights that are most relevant to changing how and for what purpose the asset is used. In rare cases where the decision about how and for what purpose the asset is used is predetermined, the Group has the right to direct the use of the asset if either:</w:t>
      </w:r>
    </w:p>
    <w:p>
      <w:pPr>
        <w:spacing w:after="0" w:line="86" w:lineRule="exact"/>
        <w:rPr>
          <w:rFonts w:ascii="Arial" w:cs="Arial" w:eastAsia="Arial" w:hAnsi="Arial"/>
          <w:sz w:val="18"/>
          <w:szCs w:val="18"/>
          <w:color w:val="auto"/>
        </w:rPr>
      </w:pPr>
    </w:p>
    <w:p>
      <w:pPr>
        <w:ind w:left="1620" w:hanging="322"/>
        <w:spacing w:after="0"/>
        <w:tabs>
          <w:tab w:leader="none" w:pos="162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Group has the right to operate the asset; 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Group designed the asset in a way that predetermines how and for what purpose it will be used.</w:t>
      </w:r>
    </w:p>
    <w:p>
      <w:pPr>
        <w:spacing w:after="0" w:line="225"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At inception or on reassessment of a contract that contains a lease component, the Group allocates the consideration in the contract to each lease component on the basis of their relative stand-alone prices. However, for the leases of land and buildings in which it is a lessee, the Group has elected not to separate non-lease components, and instead accounts for the lease and non-lease components as a single lease component.</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Group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the costs to dismantle and remove the underlying asset or to restore the underlying asset or the site on which it is located, less any lease incentives received by the Group.</w:t>
      </w:r>
    </w:p>
    <w:p>
      <w:pPr>
        <w:spacing w:after="0" w:line="18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right-of-use asset is subsequently depreciated using the straight-line method from the commencement date to the earlier of the end of the useful life of the right-of-use asset and the end of the lease term. The estimated useful lives of right-of-use assets are determined on the same basis as those of property and equipment. In addition, the right-of-use asset is periodically reduced by impairment losses, if any, and adjusted for certain remeasurements of the lease liability.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00"/>
          </w:cols>
          <w:pgMar w:left="240" w:top="459" w:right="4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Group’s incremental borrowing rate. Generally, the Group uses its incremental borrowing rate as the discount rate.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Lease payments included in the measurement of the lease liability comprise the following:</w:t>
      </w:r>
    </w:p>
    <w:p>
      <w:pPr>
        <w:spacing w:after="0" w:line="131" w:lineRule="exact"/>
        <w:rPr>
          <w:sz w:val="20"/>
          <w:szCs w:val="20"/>
          <w:color w:val="auto"/>
        </w:rPr>
      </w:pPr>
    </w:p>
    <w:p>
      <w:pPr>
        <w:ind w:left="1180" w:hanging="436"/>
        <w:spacing w:after="0"/>
        <w:tabs>
          <w:tab w:leader="none" w:pos="11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variable lease payments that depend on an index or a rate, initially measured using the index or rate as of the commencement date;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amounts expected to be payable under a residual value guarantee; and</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exercise price under a purchase option that the Group is reasonably certain to exercise, lease payments in an optional renewal period if the Group is reasonably certain to exercise an extension option, and penalties for early termination of a lease unless the Group is reasonably certain not to terminate early.</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lease liability is measured at amortized cost using the effective interest method. It is remeasured when there is a change in future lease payments arising from a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a corresponding adjustment is made to the carrying amount of the right-of-use asset or is recorded in the statement of profit or loss if the carrying amount of the right-of-use asset has been reduced to zero.</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Group presents right-of-use assets in ‘property, plant and equipment’ and lease liabilities in ‘financial liabilities’ in the statement of financial position.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or shorter lease term,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Right-of-use assets</w:t>
            </w:r>
          </w:p>
        </w:tc>
        <w:tc>
          <w:tcPr>
            <w:tcW w:w="2840" w:type="dxa"/>
            <w:vAlign w:val="bottom"/>
            <w:gridSpan w:val="2"/>
          </w:tcPr>
          <w:p>
            <w:pPr>
              <w:jc w:val="center"/>
              <w:ind w:left="2136"/>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4640" w:type="dxa"/>
            <w:vAlign w:val="bottom"/>
            <w:gridSpan w:val="2"/>
            <w:vMerge w:val="continue"/>
          </w:tcPr>
          <w:p>
            <w:pPr>
              <w:spacing w:after="0"/>
              <w:rPr>
                <w:sz w:val="15"/>
                <w:szCs w:val="15"/>
                <w:color w:val="auto"/>
              </w:rPr>
            </w:pPr>
          </w:p>
        </w:tc>
        <w:tc>
          <w:tcPr>
            <w:tcW w:w="222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3"/>
        </w:trPr>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35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1-25</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Equipment, tools and installations</w:t>
            </w:r>
          </w:p>
        </w:tc>
        <w:tc>
          <w:tcPr>
            <w:tcW w:w="2840" w:type="dxa"/>
            <w:vAlign w:val="bottom"/>
            <w:gridSpan w:val="2"/>
          </w:tcPr>
          <w:p>
            <w:pPr>
              <w:jc w:val="center"/>
              <w:ind w:left="2116"/>
              <w:spacing w:after="0"/>
              <w:rPr>
                <w:sz w:val="20"/>
                <w:szCs w:val="20"/>
                <w:color w:val="auto"/>
              </w:rPr>
            </w:pPr>
            <w:r>
              <w:rPr>
                <w:rFonts w:ascii="Arial" w:cs="Arial" w:eastAsia="Arial" w:hAnsi="Arial"/>
                <w:sz w:val="18"/>
                <w:szCs w:val="18"/>
                <w:color w:val="auto"/>
                <w:w w:val="92"/>
              </w:rPr>
              <w:t>2-5</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Automobiles</w:t>
            </w:r>
          </w:p>
        </w:tc>
        <w:tc>
          <w:tcPr>
            <w:tcW w:w="2840" w:type="dxa"/>
            <w:vAlign w:val="bottom"/>
            <w:gridSpan w:val="2"/>
            <w:shd w:val="clear" w:color="auto" w:fill="CCEEFF"/>
          </w:tcPr>
          <w:p>
            <w:pPr>
              <w:jc w:val="center"/>
              <w:ind w:left="2116"/>
              <w:spacing w:after="0"/>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Short-term leases and leases of low-value assets</w:t>
      </w:r>
    </w:p>
    <w:p>
      <w:pPr>
        <w:spacing w:after="0" w:line="121"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Group has elected not to recognize right-of-use assets and lease liabilities for short-term leases of machinery that have a lease term of 12 months or less or leases of low-value assets. The Group recognizes the lease payments associated with these leases as an expense in the statement of profit or loss on a straight-line basis over the lease term.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IFRS 16</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right-of-use assets are measured at the amount equal to the lease liability, adjusted by the amount of any prepaid or accrued lease payments relating to that lease.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applying IFRS 16 for the first time on January 1, 2017, the Group has used the following practical expedients permitted by the standard:</w:t>
      </w:r>
    </w:p>
    <w:p>
      <w:pPr>
        <w:spacing w:after="0" w:line="142" w:lineRule="exact"/>
        <w:rPr>
          <w:sz w:val="20"/>
          <w:szCs w:val="20"/>
          <w:color w:val="auto"/>
        </w:rPr>
      </w:pPr>
    </w:p>
    <w:p>
      <w:pPr>
        <w:ind w:left="5540" w:right="3100" w:hanging="4796"/>
        <w:spacing w:after="0" w:line="449" w:lineRule="auto"/>
        <w:tabs>
          <w:tab w:leader="none" w:pos="117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use of a single discount rate for a portfolio of leases with reasonably similar characteristics; F-28</w:t>
      </w:r>
    </w:p>
    <w:p>
      <w:pPr>
        <w:sectPr>
          <w:pgSz w:w="11900" w:h="16838" w:orient="portrait"/>
          <w:cols w:equalWidth="0" w:num="1">
            <w:col w:w="11120"/>
          </w:cols>
          <w:pgMar w:left="240" w:top="459" w:right="5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accounting for operating leases with a remaining lease term of less than 12 months as at January 1, 2017 as short-term leases;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exclusion of initial direct costs for the measurement of the right-of-use asset at the date of initial application;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use of hindsight in determining the lease term where the contract contains options to extend or terminate the lease.</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2.3.10</w:t>
      </w:r>
      <w:r>
        <w:rPr>
          <w:sz w:val="20"/>
          <w:szCs w:val="20"/>
          <w:color w:val="auto"/>
        </w:rPr>
        <w:tab/>
      </w:r>
      <w:r>
        <w:rPr>
          <w:rFonts w:ascii="Arial" w:cs="Arial" w:eastAsia="Arial" w:hAnsi="Arial"/>
          <w:sz w:val="15"/>
          <w:szCs w:val="15"/>
          <w:b w:val="1"/>
          <w:bCs w:val="1"/>
          <w:color w:val="auto"/>
        </w:rPr>
        <w:t>Intangible assets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Intangible assets acquired separately are measured on initial recognition at cost. The cost of intangible assets acquired in a business combination is their fair value at the date of acquisition. Following initial recognition, intangible assets are carried at cost less any accumulated amortization and accumulated impairment losses.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useful lives of intangible assets are assessed as either finite or indefinite.</w:t>
      </w:r>
    </w:p>
    <w:p>
      <w:pPr>
        <w:spacing w:after="0" w:line="225"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Intangible assets with finite lives are amortized generally on a straight-line basis over the useful economic life and assessed for impairment whenever there is an indication that the intangible asset may be impaired. The amortization period and the amortization method for an intangible asset with a finite useful life are at least reviewed at the end of each reporting period. The amortization expense on intangible assets with finite lives is recognized in the statement of profit or loss in the expense category that is consistent with the function of the intangible assets.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the useful lives applied to the Group’s intangible assets is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87"/>
              </w:rPr>
              <w:t>Intangible assets</w:t>
            </w:r>
          </w:p>
        </w:tc>
        <w:tc>
          <w:tcPr>
            <w:tcW w:w="3300" w:type="dxa"/>
            <w:vAlign w:val="bottom"/>
            <w:vMerge w:val="restart"/>
          </w:tcPr>
          <w:p>
            <w:pPr>
              <w:spacing w:after="0"/>
              <w:rPr>
                <w:sz w:val="14"/>
                <w:szCs w:val="14"/>
                <w:color w:val="auto"/>
              </w:rPr>
            </w:pPr>
          </w:p>
        </w:tc>
        <w:tc>
          <w:tcPr>
            <w:tcW w:w="3160" w:type="dxa"/>
            <w:vAlign w:val="bottom"/>
            <w:gridSpan w:val="2"/>
          </w:tcPr>
          <w:p>
            <w:pPr>
              <w:jc w:val="center"/>
              <w:ind w:left="2459"/>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78"/>
        </w:trPr>
        <w:tc>
          <w:tcPr>
            <w:tcW w:w="102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25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Industrial property rights</w:t>
            </w:r>
          </w:p>
        </w:tc>
        <w:tc>
          <w:tcPr>
            <w:tcW w:w="2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Licenses</w:t>
            </w:r>
          </w:p>
        </w:tc>
        <w:tc>
          <w:tcPr>
            <w:tcW w:w="3160" w:type="dxa"/>
            <w:vAlign w:val="bottom"/>
            <w:gridSpan w:val="2"/>
          </w:tcPr>
          <w:p>
            <w:pPr>
              <w:jc w:val="right"/>
              <w:ind w:right="79"/>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Intangible assets with indefinite useful lives are not amortized, but are tested for impairment annually, either individually or at the level of a cash-generating unit. The assessment of indefinite life is reviewed annually to determine whether the indefinite life continues to be supportable. If not, the change in useful life from indefinite to finite is made on a prospective basis.</w:t>
      </w:r>
    </w:p>
    <w:p>
      <w:pPr>
        <w:spacing w:after="0" w:line="18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group has classified advanced payments on intangible assets as intangible assets with an indefinite useful live. Advanced payments on intangible assets are tested for impairment on an annual basis.</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An intangible asset is derecognized upon disposal (</w:t>
      </w:r>
      <w:r>
        <w:rPr>
          <w:rFonts w:ascii="Arial" w:cs="Arial" w:eastAsia="Arial" w:hAnsi="Arial"/>
          <w:sz w:val="18"/>
          <w:szCs w:val="18"/>
          <w:i w:val="1"/>
          <w:iCs w:val="1"/>
          <w:color w:val="auto"/>
        </w:rPr>
        <w:t>i.e</w:t>
      </w:r>
      <w:r>
        <w:rPr>
          <w:rFonts w:ascii="Arial" w:cs="Arial" w:eastAsia="Arial" w:hAnsi="Arial"/>
          <w:sz w:val="18"/>
          <w:szCs w:val="18"/>
          <w:color w:val="auto"/>
        </w:rPr>
        <w:t>.,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statement of profit or loss.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Research costs are expensed as incurred. Development expenditures on an individual project are recognized as an intangible asset when the Group can demonstrate:</w:t>
      </w:r>
    </w:p>
    <w:p>
      <w:pPr>
        <w:spacing w:after="0" w:line="76" w:lineRule="exact"/>
        <w:rPr>
          <w:sz w:val="20"/>
          <w:szCs w:val="20"/>
          <w:color w:val="auto"/>
        </w:rPr>
      </w:pPr>
    </w:p>
    <w:p>
      <w:pPr>
        <w:ind w:left="1180" w:hanging="436"/>
        <w:spacing w:after="0"/>
        <w:tabs>
          <w:tab w:leader="none" w:pos="1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technical feasibility of completing the intangible asset so that the asset will be available for use or sale;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its intention to complete and its ability and intention to use or sell the asset;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how the asset will generate future economic benefits;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availability of resources to complete the asset;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ability to reliably measure the expenditure during development.</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Group has not capitalized any development expenditures. The related expenditure is reflected in the statement of profit or loss in the period in which the expenditure is incurred.</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2.3.11</w:t>
      </w:r>
      <w:r>
        <w:rPr>
          <w:sz w:val="20"/>
          <w:szCs w:val="20"/>
          <w:color w:val="auto"/>
        </w:rPr>
        <w:tab/>
      </w:r>
      <w:r>
        <w:rPr>
          <w:rFonts w:ascii="Arial" w:cs="Arial" w:eastAsia="Arial" w:hAnsi="Arial"/>
          <w:sz w:val="16"/>
          <w:szCs w:val="16"/>
          <w:b w:val="1"/>
          <w:bCs w:val="1"/>
          <w:color w:val="auto"/>
        </w:rPr>
        <w:t>Financial instruments – initial recognition and subsequent measurement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financial instrument is any contract that gives rise to a financial asset of one entity and a financial liability or equity instrument of another entity.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Financial assets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Financial assets are initially measured at fair value, after the initial measurement the financial assets are subsequently classified as either measured at amortized cost, fair value through other comprehensive income, or fair value through profit or loss.</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With the exception of trade receivables that do not contain a significant financing component or for which the Group has applied the practical expedient, the Group initially measures a financial asset at its fair value plus, in the case of a financial asset not at fair value through profit or loss, transaction costs. Trade receivables that do not contain a significant financing component or for which the Group has applied the practical expedient are measured at the transaction price determined under IFRS 15. Refer to the accounting policies in Note 2.3.4.</w:t>
      </w:r>
    </w:p>
    <w:p>
      <w:pPr>
        <w:spacing w:after="0" w:line="158"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order for a financial asset to be classified and measured at amortized cost or fair value through OCI, it needs to give rise to cash flows that are ‘solely payments of principal and interest (SPPI)’ on the principal amount outstanding. This assessment is referred to as the SPPI test and is performed at an instrument level.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subsequent measurement, financial assets are classified into four categories:</w:t>
      </w:r>
    </w:p>
    <w:p>
      <w:pPr>
        <w:spacing w:after="0" w:line="131" w:lineRule="exact"/>
        <w:rPr>
          <w:sz w:val="20"/>
          <w:szCs w:val="20"/>
          <w:color w:val="auto"/>
        </w:rPr>
      </w:pPr>
    </w:p>
    <w:p>
      <w:pPr>
        <w:ind w:left="1180" w:hanging="436"/>
        <w:spacing w:after="0"/>
        <w:tabs>
          <w:tab w:leader="none" w:pos="11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financial assets at amortized cost (debt instruments);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financial assets at fair value through other comprehensive income with recycling of cumulative gains and losses (debt instruments);</w:t>
      </w:r>
    </w:p>
    <w:p>
      <w:pPr>
        <w:spacing w:after="0" w:line="142" w:lineRule="exact"/>
        <w:rPr>
          <w:rFonts w:ascii="Arial" w:cs="Arial" w:eastAsia="Arial" w:hAnsi="Arial"/>
          <w:sz w:val="17"/>
          <w:szCs w:val="17"/>
          <w:color w:val="auto"/>
        </w:rPr>
      </w:pPr>
    </w:p>
    <w:p>
      <w:pPr>
        <w:ind w:left="1180" w:right="540" w:hanging="436"/>
        <w:spacing w:after="0" w:line="277" w:lineRule="auto"/>
        <w:tabs>
          <w:tab w:leader="none" w:pos="11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financial assets designated at fair value through other comprehensive income with no recycling of cumulative gains and losses upon derecognition (equity instruments); or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assets at amortized cost (debt instruments)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measures financial assets at amortized cost if both of the following conditions are met:</w:t>
      </w:r>
    </w:p>
    <w:p>
      <w:pPr>
        <w:spacing w:after="0" w:line="131" w:lineRule="exact"/>
        <w:rPr>
          <w:sz w:val="20"/>
          <w:szCs w:val="20"/>
          <w:color w:val="auto"/>
        </w:rPr>
      </w:pPr>
    </w:p>
    <w:p>
      <w:pPr>
        <w:ind w:left="1180" w:hanging="436"/>
        <w:spacing w:after="0"/>
        <w:tabs>
          <w:tab w:leader="none" w:pos="11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financial asset is held within a business model with the objective to hold financial assets in order to collect contractual cash flows; and</w:t>
      </w:r>
    </w:p>
    <w:p>
      <w:pPr>
        <w:spacing w:after="0" w:line="153" w:lineRule="exact"/>
        <w:rPr>
          <w:rFonts w:ascii="Arial" w:cs="Arial" w:eastAsia="Arial" w:hAnsi="Arial"/>
          <w:sz w:val="16"/>
          <w:szCs w:val="16"/>
          <w:color w:val="auto"/>
        </w:rPr>
      </w:pPr>
    </w:p>
    <w:p>
      <w:pPr>
        <w:ind w:left="1180" w:right="240" w:hanging="436"/>
        <w:spacing w:after="0" w:line="277" w:lineRule="auto"/>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contractual terms of the financial asset give rise on specified dates to cash flows that are solely payments of principal and interest on the principal amount outstanding.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Financial assets at amortized cost are subsequently measured using the effective interest (EIR) method, and are subject to impairment. Gains and losses are recognized in the statement of profit or loss when the asset is derecognized, modified or impaired.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primarily derecognized (</w:t>
      </w:r>
      <w:r>
        <w:rPr>
          <w:rFonts w:ascii="Arial" w:cs="Arial" w:eastAsia="Arial" w:hAnsi="Arial"/>
          <w:sz w:val="18"/>
          <w:szCs w:val="18"/>
          <w:i w:val="1"/>
          <w:iCs w:val="1"/>
          <w:color w:val="auto"/>
        </w:rPr>
        <w:t>i.e.</w:t>
      </w:r>
      <w:r>
        <w:rPr>
          <w:rFonts w:ascii="Arial" w:cs="Arial" w:eastAsia="Arial" w:hAnsi="Arial"/>
          <w:sz w:val="18"/>
          <w:szCs w:val="18"/>
          <w:color w:val="auto"/>
        </w:rPr>
        <w:t>, removed from the Group’s consolidated statement of financial position) when:</w:t>
      </w:r>
    </w:p>
    <w:p>
      <w:pPr>
        <w:spacing w:after="0" w:line="76" w:lineRule="exact"/>
        <w:rPr>
          <w:sz w:val="20"/>
          <w:szCs w:val="20"/>
          <w:color w:val="auto"/>
        </w:rPr>
      </w:pPr>
    </w:p>
    <w:p>
      <w:pPr>
        <w:ind w:left="1180" w:hanging="436"/>
        <w:spacing w:after="0"/>
        <w:tabs>
          <w:tab w:leader="none" w:pos="11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130" w:lineRule="exact"/>
        <w:rPr>
          <w:rFonts w:ascii="Arial" w:cs="Arial" w:eastAsia="Arial" w:hAnsi="Arial"/>
          <w:sz w:val="18"/>
          <w:szCs w:val="18"/>
          <w:color w:val="auto"/>
        </w:rPr>
      </w:pPr>
    </w:p>
    <w:p>
      <w:pPr>
        <w:ind w:left="1180" w:right="80" w:hanging="436"/>
        <w:spacing w:after="0" w:line="259" w:lineRule="auto"/>
        <w:tabs>
          <w:tab w:leader="none" w:pos="11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Group has transferred its rights to receive cash flows from the asset or has assumed an obligation to pay the received cash flows in full without material delay to a third party under a ‘pass-through’ arrangement; and either (i) the Group has transferred substantially all the risks and rewards of the asset, or (ii) the Group has neither transferred nor retained substantially all the risks and rewards of the asset, but has transferred control of the asset.</w:t>
      </w:r>
    </w:p>
    <w:p>
      <w:pPr>
        <w:spacing w:after="0" w:line="18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When the Group has transferred its rights to receive cash flows from an asset it evaluates if, and to what extent, it has retained the risks and rewards of ownership. When it has neither transferred nor retained substantially all of the risks and rewards of the asset, nor transferred control of the asset, the Group continues to recognize the transferred asset to the extent of its continuing involvement. In that case, the Group also recognizes an associated liability. The transferred asset and the associated liability are measured on a basis that reflects the rights and obligations that the Group has retained.</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Continuing involvement that takes the form of a guarantee over the transferred asset is measured at the lower of the original carrying amount of the asset and the maximum amount of consideration that the Group could be required to repay.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 of financial assets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allowance for expected credit losses (ECLs) should be recognized for all debt instruments not held at fair value through profit or loss. ECLs are based on the difference between the contractual cash flows due in accordance with the contract and all of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18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For trade receivables and contract assets, the Group applies a simplified approach in calculating ECLs. Therefore,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Group considers a financial asset in default when contractual payments are 180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240" w:top="459" w:right="4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ii) Financial liabilities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profit or loss, loans and borrowings or as payables.</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and payables, net of directly attributable transaction costs.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financial liabilities include trade payables and other financial liabilities.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Subsequent measurement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measurement of financial liabilities depends on their classification, as described below.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liabilities at fair value through profit or loss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has no financial liabilities measured at fair value through profit or loss.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Loans, borrowings, trade payables and other financial liabilities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After initial recognition, interest-bearing loans and borrowings, trade payables and other financial liabilities are subsequently measured at amortized cost using the EIR method. Gains and losses are recognized in the statement of profit or loss when the liabilities are derecognized as well as through the EIR amortization process.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Amortized cost is calculated by taking into account any discount or premium on acquisition and fees or costs that are an integral part of the EIR.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EIR amortization is included as finance costs in the statement of profit or loss.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category generally applies to interest-bearing loans and borrowings.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Derecognition</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recognized in the statement of profit or loss.</w:t>
      </w:r>
    </w:p>
    <w:p>
      <w:pPr>
        <w:spacing w:after="0" w:line="3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2.3.12</w:t>
      </w:r>
      <w:r>
        <w:rPr>
          <w:sz w:val="20"/>
          <w:szCs w:val="20"/>
          <w:color w:val="auto"/>
        </w:rPr>
        <w:tab/>
      </w:r>
      <w:r>
        <w:rPr>
          <w:rFonts w:ascii="Arial" w:cs="Arial" w:eastAsia="Arial" w:hAnsi="Arial"/>
          <w:sz w:val="16"/>
          <w:szCs w:val="16"/>
          <w:b w:val="1"/>
          <w:bCs w:val="1"/>
          <w:color w:val="auto"/>
        </w:rPr>
        <w:t>Inventories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are valued at the lower of cost and net realizable value.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Costs incurred in bringing each product to its present location and condition are accounted for as follows:</w:t>
      </w:r>
    </w:p>
    <w:p>
      <w:pPr>
        <w:spacing w:after="0" w:line="131" w:lineRule="exact"/>
        <w:rPr>
          <w:sz w:val="20"/>
          <w:szCs w:val="20"/>
          <w:color w:val="auto"/>
        </w:rPr>
      </w:pPr>
    </w:p>
    <w:p>
      <w:pPr>
        <w:ind w:left="1180" w:hanging="436"/>
        <w:spacing w:after="0"/>
        <w:tabs>
          <w:tab w:leader="none" w:pos="1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raw materials and supplies: purchase cost on a first-in/first-out basis; or</w:t>
      </w:r>
    </w:p>
    <w:p>
      <w:pPr>
        <w:spacing w:after="0" w:line="130" w:lineRule="exact"/>
        <w:rPr>
          <w:rFonts w:ascii="Arial" w:cs="Arial" w:eastAsia="Arial" w:hAnsi="Arial"/>
          <w:sz w:val="18"/>
          <w:szCs w:val="18"/>
          <w:color w:val="auto"/>
        </w:rPr>
      </w:pPr>
    </w:p>
    <w:p>
      <w:pPr>
        <w:ind w:left="1180" w:right="520" w:hanging="436"/>
        <w:spacing w:after="0" w:line="277" w:lineRule="auto"/>
        <w:tabs>
          <w:tab w:leader="none" w:pos="1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unfinished goods and services and finished goods and services: cost of direct materials and labor and a proportion of manufacturing overheads based on the normal operating capacity, but excluding borrowing costs.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Net realizable value is the estimated selling price in the ordinary course of business, less estimated costs of completion and the estimated costs necessary to make the sale.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80"/>
          </w:cols>
          <w:pgMar w:left="240" w:top="459" w:right="47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2.3.13</w:t>
      </w:r>
      <w:r>
        <w:rPr>
          <w:sz w:val="20"/>
          <w:szCs w:val="20"/>
          <w:color w:val="auto"/>
        </w:rPr>
        <w:tab/>
      </w:r>
      <w:r>
        <w:rPr>
          <w:rFonts w:ascii="Arial" w:cs="Arial" w:eastAsia="Arial" w:hAnsi="Arial"/>
          <w:sz w:val="16"/>
          <w:szCs w:val="16"/>
          <w:b w:val="1"/>
          <w:bCs w:val="1"/>
          <w:color w:val="auto"/>
        </w:rPr>
        <w:t>Impairment of non-financial assets</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 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cash generating unit exceeds its recoverable amount, the asset is considered impaired and is written down to its recoverable amount.</w:t>
      </w:r>
    </w:p>
    <w:p>
      <w:pPr>
        <w:spacing w:after="0" w:line="15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Group bases its impairment calculation on detailed budgets and forecast calculations, which are prepared separately for each of the Group’s cash generating units to which the individual assets are allocated. These budgets and forecast calculations generally cover a period of five years. A long-term growth rate is calculated and applied to project future cash flows after the fifth year.</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Impairment losses of continuing operations are recognized in the statement of profit or loss in expense categories consistent with the function of the impaired asset.</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For assets excluding goodwill, an assessment is made at each reporting date to determine whether there is an indication that previously recognized impairment losses no longer exist or have decreased. If such indication exists, the Group estimates the asset’s or cash generating unit’s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profit or loss unless the asset is carried at a revalued amount, in which case, the reversal is treated as a revaluation increase.</w:t>
      </w:r>
    </w:p>
    <w:p>
      <w:pPr>
        <w:spacing w:after="0" w:line="322"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2.3.14</w:t>
      </w:r>
      <w:r>
        <w:rPr>
          <w:sz w:val="20"/>
          <w:szCs w:val="20"/>
          <w:color w:val="auto"/>
        </w:rPr>
        <w:tab/>
      </w:r>
      <w:r>
        <w:rPr>
          <w:rFonts w:ascii="Arial" w:cs="Arial" w:eastAsia="Arial" w:hAnsi="Arial"/>
          <w:sz w:val="15"/>
          <w:szCs w:val="15"/>
          <w:b w:val="1"/>
          <w:bCs w:val="1"/>
          <w:color w:val="auto"/>
        </w:rPr>
        <w:t>Cash and cash equivalents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Cash and cash equivalents comprise cash in banks and on hand and short-term deposits with an original maturity of three months or less, which are subject to an insignificant risk of changes in value.</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2.3.15</w:t>
      </w:r>
      <w:r>
        <w:rPr>
          <w:sz w:val="20"/>
          <w:szCs w:val="20"/>
          <w:color w:val="auto"/>
        </w:rPr>
        <w:tab/>
      </w:r>
      <w:r>
        <w:rPr>
          <w:rFonts w:ascii="Arial" w:cs="Arial" w:eastAsia="Arial" w:hAnsi="Arial"/>
          <w:sz w:val="15"/>
          <w:szCs w:val="15"/>
          <w:b w:val="1"/>
          <w:bCs w:val="1"/>
          <w:color w:val="auto"/>
        </w:rPr>
        <w:t>Provisions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profit or loss net of any reimbursement.</w:t>
      </w:r>
    </w:p>
    <w:p>
      <w:pPr>
        <w:spacing w:after="0" w:line="33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2.3.16</w:t>
      </w:r>
      <w:r>
        <w:rPr>
          <w:sz w:val="20"/>
          <w:szCs w:val="20"/>
          <w:color w:val="auto"/>
        </w:rPr>
        <w:tab/>
      </w:r>
      <w:r>
        <w:rPr>
          <w:rFonts w:ascii="Arial" w:cs="Arial" w:eastAsia="Arial" w:hAnsi="Arial"/>
          <w:sz w:val="15"/>
          <w:szCs w:val="15"/>
          <w:b w:val="1"/>
          <w:bCs w:val="1"/>
          <w:color w:val="auto"/>
        </w:rPr>
        <w:t>Share-based payments</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Employees (and others providing similar services) receive remuneration in the form of share-based payments. Furthermore, employees and others providing similar services to the group are granted share appreciation rights, which are settled in equity instruments (equity-settled transactions).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80"/>
          </w:cols>
          <w:pgMar w:left="240" w:top="459" w:right="47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Equity-settled transactions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cost of equity-settled transactions is determined by the fair value at the date when the grant is made using an appropriate valuation model, further details of which are given in Note 16.</w:t>
      </w:r>
    </w:p>
    <w:p>
      <w:pPr>
        <w:spacing w:after="0" w:line="170"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These costs are recognized in Research and development expenses, Sales and marketing expenses or General and administrative expenses, together with a corresponding increase in equity (other capital reserves), over the period in which the service is provided (the vesting period).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31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First-time adoption of IFRS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These financial statements, for the year ended December 31, 2018, are the first the Group has prepared in accordance with IFRS. For periods up to and including the year ended December 31, 2017, the Group prepared its financial statements in accordance with German GAAP as local generally accepted accounting principles.</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Accordingly, the Group has prepared financial statements that comply with IFRS applicable as at December 31, 2018 and the early adoption of IFRS 16 Leases, together with the comparative period data for the year ended December 31, 2017, as described in the summary of significant accounting policies. In preparing the financial statements, the Group’s opening statement of financial position was prepared as at 1 January 2017, the Group’s date of transition to IFRS. The principal adjustments made by the Group in restating its German GAAP financial statements, including the statement of financial position as at 1 January 2017 and the financial statements for the year ended December 31, 2017 as described below.</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Exemptions applied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IFRS 1 allows first-time adopters certain exemptions from the retrospective application of certain requirements under IFRS.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has applied the following exemptions:</w:t>
      </w:r>
    </w:p>
    <w:p>
      <w:pPr>
        <w:spacing w:after="0" w:line="131" w:lineRule="exact"/>
        <w:rPr>
          <w:sz w:val="20"/>
          <w:szCs w:val="20"/>
          <w:color w:val="auto"/>
        </w:rPr>
      </w:pPr>
    </w:p>
    <w:p>
      <w:pPr>
        <w:ind w:left="1180" w:right="80" w:hanging="436"/>
        <w:spacing w:after="0" w:line="273" w:lineRule="auto"/>
        <w:tabs>
          <w:tab w:leader="none" w:pos="11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IFRS 3 Business Combinations has not been applied to either acquisitions of subsidiaries that are considered businesses under IFRS, or acquisitions of interests in associates and joint ventures that occurred before January 1, 2017. Use of this exemption means that the German GAAP carrying amounts of assets and liabilities, which are required to be recognized under IFRS, is their deemed cost at the date of the acquisition. After the date of the acquisition, measurement is in accordance with IFRS. Assets and liabilities that do not qualify for recognition under IFRS are excluded from the opening IFRS statement of financial position. The Group did not recognize or exclude any previously recognized amounts as a result of IFRS recognition requirements.</w:t>
      </w:r>
    </w:p>
    <w:p>
      <w:pPr>
        <w:spacing w:after="0" w:line="83" w:lineRule="exact"/>
        <w:rPr>
          <w:rFonts w:ascii="Arial" w:cs="Arial" w:eastAsia="Arial" w:hAnsi="Arial"/>
          <w:sz w:val="17"/>
          <w:szCs w:val="17"/>
          <w:color w:val="auto"/>
        </w:rPr>
      </w:pPr>
    </w:p>
    <w:p>
      <w:pPr>
        <w:ind w:left="1180" w:right="200" w:hanging="436"/>
        <w:spacing w:after="0" w:line="259" w:lineRule="auto"/>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IFRS 1 also requires that the German GAAP carrying amount of goodwill is used in the opening IFRS statement of financial position (apart from adjustments for goodwill impairment and recognition or derecognition of intangible assets). In accordance with IFRS 1, the Group has tested goodwill for impairment at the date of transition to IFRS. No goodwill impairment was deemed necessary at January 1, 2017.</w:t>
      </w:r>
    </w:p>
    <w:p>
      <w:pPr>
        <w:spacing w:after="0" w:line="92" w:lineRule="exact"/>
        <w:rPr>
          <w:rFonts w:ascii="Arial" w:cs="Arial" w:eastAsia="Arial" w:hAnsi="Arial"/>
          <w:sz w:val="18"/>
          <w:szCs w:val="18"/>
          <w:color w:val="auto"/>
        </w:rPr>
      </w:pPr>
    </w:p>
    <w:p>
      <w:pPr>
        <w:ind w:left="1180" w:right="140" w:hanging="436"/>
        <w:spacing w:after="0" w:line="255" w:lineRule="auto"/>
        <w:tabs>
          <w:tab w:leader="none" w:pos="11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BioNTech measures the lease liability under IFRS 16 for all leases at the date of transition to IFRS. The lease liability is measured at the present value of the remaining lease payments, discounted using BioNTech’s incremental borrowing rate at the date of transition to IFRS. The right-of-use asset is measured at cost, which consists of the present value of the unpaid lease payments, adjusted for any initial direct costs, prepaid payments or dismantling costs. The Group applies a single discount rate to a portfolio of leases with reasonably similar characteristics. The Group elects not to apply the requirements for lease liabilities and right-of-use assets as described above to leases for which the lease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64" w:lineRule="auto"/>
        <w:rPr>
          <w:sz w:val="20"/>
          <w:szCs w:val="20"/>
          <w:color w:val="auto"/>
        </w:rPr>
      </w:pPr>
      <w:r>
        <w:rPr>
          <w:rFonts w:ascii="Arial" w:cs="Arial" w:eastAsia="Arial" w:hAnsi="Arial"/>
          <w:sz w:val="18"/>
          <w:szCs w:val="18"/>
          <w:color w:val="auto"/>
        </w:rPr>
        <w:t>term ends within 12 months of the transition to IFRSs, and BioNTech elects to exclude initial direct costs from measurement of the right-of-use asset at the date of transition to IFRSs and the use of hindsight, in determining the lease term if the contract contains options to extend or terminate the lease.</w:t>
      </w:r>
    </w:p>
    <w:p>
      <w:pPr>
        <w:spacing w:after="0" w:line="87" w:lineRule="exact"/>
        <w:rPr>
          <w:sz w:val="20"/>
          <w:szCs w:val="20"/>
          <w:color w:val="auto"/>
        </w:rPr>
      </w:pPr>
    </w:p>
    <w:p>
      <w:pPr>
        <w:ind w:left="1180" w:hanging="436"/>
        <w:spacing w:after="0"/>
        <w:tabs>
          <w:tab w:leader="none" w:pos="11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Cumulative currency translation differences for all foreign operations are deemed to be zero as at January 1, 2017.</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Estimates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estimates at January 1, 2017 and at December 31, 2017 are consistent with those made for the same dates in accordance with German GAAP (after adjustments to reflect any differences in accounting policies).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differences between German GAAP and IFRS as of January 1, 2017 were as follows: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4"/>
          </w:tcPr>
          <w:p>
            <w:pPr>
              <w:jc w:val="center"/>
              <w:ind w:left="116"/>
              <w:spacing w:after="0"/>
              <w:rPr>
                <w:sz w:val="20"/>
                <w:szCs w:val="20"/>
                <w:color w:val="auto"/>
              </w:rPr>
            </w:pPr>
            <w:r>
              <w:rPr>
                <w:rFonts w:ascii="Arial" w:cs="Arial" w:eastAsia="Arial" w:hAnsi="Arial"/>
                <w:sz w:val="14"/>
                <w:szCs w:val="14"/>
                <w:b w:val="1"/>
                <w:bCs w:val="1"/>
                <w:color w:val="auto"/>
                <w:w w:val="96"/>
              </w:rPr>
              <w:t>German GAAP</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Year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Note</w:t>
            </w:r>
          </w:p>
        </w:tc>
        <w:tc>
          <w:tcPr>
            <w:tcW w:w="520" w:type="dxa"/>
            <w:vAlign w:val="bottom"/>
          </w:tcPr>
          <w:p>
            <w:pPr>
              <w:spacing w:after="0"/>
              <w:rPr>
                <w:sz w:val="12"/>
                <w:szCs w:val="12"/>
                <w:color w:val="auto"/>
              </w:rPr>
            </w:pPr>
          </w:p>
        </w:tc>
        <w:tc>
          <w:tcPr>
            <w:tcW w:w="12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3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Adjustment</w:t>
            </w:r>
          </w:p>
        </w:tc>
        <w:tc>
          <w:tcPr>
            <w:tcW w:w="1200" w:type="dxa"/>
            <w:vAlign w:val="bottom"/>
            <w:gridSpan w:val="4"/>
          </w:tcPr>
          <w:p>
            <w:pPr>
              <w:jc w:val="center"/>
              <w:ind w:left="7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contracts with customers</w:t>
            </w:r>
          </w:p>
        </w:tc>
        <w:tc>
          <w:tcPr>
            <w:tcW w:w="1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G, F</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87,741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(26,143)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sales</w:t>
            </w:r>
          </w:p>
        </w:tc>
        <w:tc>
          <w:tcPr>
            <w:tcW w:w="14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(11,472)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76,269</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(23,989)</w:t>
            </w: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J</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(85,496)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 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B, 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(18,176)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(5,344)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H, 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4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(26,384)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26,096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(67,479)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6,202</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(61,277)</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(25,954)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related to lease liability</w:t>
            </w:r>
          </w:p>
        </w:tc>
        <w:tc>
          <w:tcPr>
            <w:tcW w:w="14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equity method investees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(65,477</w:t>
            </w:r>
          </w:p>
        </w:tc>
        <w:tc>
          <w:tcPr>
            <w:tcW w:w="300" w:type="dxa"/>
            <w:vAlign w:val="bottom"/>
          </w:tcPr>
          <w:p>
            <w:pPr>
              <w:jc w:val="right"/>
              <w:ind w:right="22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(20,428</w:t>
            </w:r>
          </w:p>
        </w:tc>
        <w:tc>
          <w:tcPr>
            <w:tcW w:w="300" w:type="dxa"/>
            <w:vAlign w:val="bottom"/>
          </w:tcPr>
          <w:p>
            <w:pPr>
              <w:jc w:val="right"/>
              <w:ind w:right="22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(85,905</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Loss for the year</w:t>
            </w: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(65,501</w:t>
            </w:r>
          </w:p>
        </w:tc>
        <w:tc>
          <w:tcPr>
            <w:tcW w:w="300" w:type="dxa"/>
            <w:vAlign w:val="bottom"/>
          </w:tcPr>
          <w:p>
            <w:pPr>
              <w:jc w:val="right"/>
              <w:ind w:right="22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(20,449</w:t>
            </w:r>
          </w:p>
        </w:tc>
        <w:tc>
          <w:tcPr>
            <w:tcW w:w="300" w:type="dxa"/>
            <w:vAlign w:val="bottom"/>
          </w:tcPr>
          <w:p>
            <w:pPr>
              <w:jc w:val="right"/>
              <w:ind w:right="220"/>
              <w:spacing w:after="0"/>
              <w:rPr>
                <w:sz w:val="20"/>
                <w:szCs w:val="20"/>
                <w:color w:val="auto"/>
              </w:rPr>
            </w:pPr>
            <w:r>
              <w:rPr>
                <w:rFonts w:ascii="Arial" w:cs="Arial" w:eastAsia="Arial" w:hAnsi="Arial"/>
                <w:sz w:val="8"/>
                <w:szCs w:val="8"/>
                <w:b w:val="1"/>
                <w:bCs w:val="1"/>
                <w:color w:val="auto"/>
                <w:w w:val="73"/>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(85,950</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Equity holders of the parent</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(65,204)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(20,449)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(65,501)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(20,449)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(85,950)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80" w:type="dxa"/>
            <w:vAlign w:val="bottom"/>
            <w:gridSpan w:val="2"/>
          </w:tcPr>
          <w:p>
            <w:pPr>
              <w:ind w:left="920"/>
              <w:spacing w:after="0"/>
              <w:rPr>
                <w:sz w:val="20"/>
                <w:szCs w:val="20"/>
                <w:color w:val="auto"/>
              </w:rPr>
            </w:pPr>
            <w:r>
              <w:rPr>
                <w:rFonts w:ascii="Arial" w:cs="Arial" w:eastAsia="Arial" w:hAnsi="Arial"/>
                <w:sz w:val="18"/>
                <w:szCs w:val="18"/>
                <w:color w:val="auto"/>
              </w:rPr>
              <w:t>F-35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4"/>
          </w:tcPr>
          <w:p>
            <w:pPr>
              <w:jc w:val="center"/>
              <w:ind w:left="76"/>
              <w:spacing w:after="0"/>
              <w:rPr>
                <w:sz w:val="20"/>
                <w:szCs w:val="20"/>
                <w:color w:val="auto"/>
              </w:rPr>
            </w:pPr>
            <w:r>
              <w:rPr>
                <w:rFonts w:ascii="Arial" w:cs="Arial" w:eastAsia="Arial" w:hAnsi="Arial"/>
                <w:sz w:val="14"/>
                <w:szCs w:val="14"/>
                <w:b w:val="1"/>
                <w:bCs w:val="1"/>
                <w:color w:val="auto"/>
                <w:w w:val="96"/>
              </w:rPr>
              <w:t>German GAAP</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gridSpan w:val="2"/>
            <w:vMerge w:val="restart"/>
          </w:tcPr>
          <w:p>
            <w:pPr>
              <w:ind w:left="6640"/>
              <w:spacing w:after="0"/>
              <w:rPr>
                <w:sz w:val="20"/>
                <w:szCs w:val="20"/>
                <w:color w:val="auto"/>
              </w:rPr>
            </w:pPr>
            <w:r>
              <w:rPr>
                <w:rFonts w:ascii="Arial" w:cs="Arial" w:eastAsia="Arial" w:hAnsi="Arial"/>
                <w:sz w:val="14"/>
                <w:szCs w:val="14"/>
                <w:b w:val="1"/>
                <w:bCs w:val="1"/>
                <w:color w:val="auto"/>
                <w:w w:val="89"/>
              </w:rPr>
              <w:t>Note</w:t>
            </w:r>
          </w:p>
        </w:tc>
        <w:tc>
          <w:tcPr>
            <w:tcW w:w="44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Adjustment</w:t>
            </w:r>
          </w:p>
        </w:tc>
        <w:tc>
          <w:tcPr>
            <w:tcW w:w="118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(65,501</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(20,449</w:t>
            </w:r>
          </w:p>
        </w:tc>
        <w:tc>
          <w:tcPr>
            <w:tcW w:w="280" w:type="dxa"/>
            <w:vAlign w:val="bottom"/>
            <w:tcBorders>
              <w:top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(85,950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Other comprehensive income that may be reclassified to profit or loss in subsequent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periods (net of tax)</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Net other comprehensive income/(loss) that may be reclassified to profit or loss in</w:t>
            </w: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subsequent periods</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30"/>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(65,501)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(20,473)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spacing w:after="0"/>
              <w:rPr>
                <w:sz w:val="20"/>
                <w:szCs w:val="20"/>
                <w:color w:val="auto"/>
              </w:rPr>
            </w:pPr>
            <w:r>
              <w:rPr>
                <w:rFonts w:ascii="Arial" w:cs="Arial" w:eastAsia="Arial" w:hAnsi="Arial"/>
                <w:sz w:val="18"/>
                <w:szCs w:val="18"/>
                <w:color w:val="auto"/>
              </w:rPr>
              <w:t>Attributable to:</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 of the parent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(20,473)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 net of tax</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(65,501)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(20,473)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gridSpan w:val="2"/>
            <w:vMerge w:val="restart"/>
          </w:tcPr>
          <w:p>
            <w:pPr>
              <w:ind w:left="5320"/>
              <w:spacing w:after="0"/>
              <w:rPr>
                <w:sz w:val="20"/>
                <w:szCs w:val="20"/>
                <w:color w:val="auto"/>
              </w:rPr>
            </w:pPr>
            <w:r>
              <w:rPr>
                <w:rFonts w:ascii="Arial" w:cs="Arial" w:eastAsia="Arial" w:hAnsi="Arial"/>
                <w:sz w:val="18"/>
                <w:szCs w:val="18"/>
                <w:color w:val="auto"/>
              </w:rPr>
              <w:t>F-36</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German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IFRS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GAAP as at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27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Notes</w:t>
            </w:r>
          </w:p>
        </w:tc>
        <w:tc>
          <w:tcPr>
            <w:tcW w:w="26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Adjustment</w:t>
            </w:r>
          </w:p>
        </w:tc>
        <w:tc>
          <w:tcPr>
            <w:tcW w:w="140" w:type="dxa"/>
            <w:vAlign w:val="bottom"/>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58"/>
        </w:trPr>
        <w:tc>
          <w:tcPr>
            <w:tcW w:w="4600" w:type="dxa"/>
            <w:vAlign w:val="bottom"/>
            <w:gridSpan w:val="3"/>
            <w:vMerge w:val="continue"/>
          </w:tcPr>
          <w:p>
            <w:pPr>
              <w:spacing w:after="0"/>
              <w:rPr>
                <w:sz w:val="13"/>
                <w:szCs w:val="13"/>
                <w:color w:val="auto"/>
              </w:rPr>
            </w:pPr>
          </w:p>
        </w:tc>
        <w:tc>
          <w:tcPr>
            <w:tcW w:w="27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11"/>
              <w:spacing w:after="0" w:line="158"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30"/>
              <w:spacing w:after="0" w:line="158"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Non-current assets</w:t>
            </w:r>
          </w:p>
        </w:tc>
        <w:tc>
          <w:tcPr>
            <w:tcW w:w="27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C, D</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11,098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assets</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Contract assets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 C</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Deferred expense</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303,680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326,672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(8,547</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318,125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369,044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20,915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389,959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3"/>
            <w:vMerge w:val="continue"/>
          </w:tcPr>
          <w:p>
            <w:pPr>
              <w:spacing w:after="0"/>
              <w:rPr>
                <w:sz w:val="18"/>
                <w:szCs w:val="18"/>
                <w:color w:val="auto"/>
              </w:rPr>
            </w:pP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Share capital</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reserve</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172,416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Accumulated losses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(112,100)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(33,115)</w:t>
            </w: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(33,145</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(33,145</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Financial liabilities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Contract liabilities</w:t>
            </w:r>
          </w:p>
        </w:tc>
        <w:tc>
          <w:tcPr>
            <w:tcW w:w="2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273,414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273,414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299,509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301,466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Trade payables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Other financial liabilities</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E, 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H</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ind w:left="340"/>
              <w:spacing w:after="0"/>
              <w:rPr>
                <w:sz w:val="20"/>
                <w:szCs w:val="20"/>
                <w:color w:val="auto"/>
              </w:rPr>
            </w:pPr>
            <w:r>
              <w:rPr>
                <w:rFonts w:ascii="Arial" w:cs="Arial" w:eastAsia="Arial" w:hAnsi="Arial"/>
                <w:sz w:val="18"/>
                <w:szCs w:val="18"/>
                <w:color w:val="auto"/>
              </w:rPr>
              <w:t>Deferred income and accrued expenses</w:t>
            </w:r>
          </w:p>
        </w:tc>
        <w:tc>
          <w:tcPr>
            <w:tcW w:w="2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243,595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(243,595)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302,085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8"/>
              </w:rPr>
              <w:t>(245,450)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304,042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358,102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2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369,044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20,915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389,959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180" w:type="dxa"/>
            <w:vAlign w:val="bottom"/>
            <w:gridSpan w:val="2"/>
            <w:vMerge w:val="restart"/>
          </w:tcPr>
          <w:p>
            <w:pPr>
              <w:jc w:val="right"/>
              <w:ind w:right="2011"/>
              <w:spacing w:after="0"/>
              <w:rPr>
                <w:sz w:val="20"/>
                <w:szCs w:val="20"/>
                <w:color w:val="auto"/>
              </w:rPr>
            </w:pPr>
            <w:r>
              <w:rPr>
                <w:rFonts w:ascii="Arial" w:cs="Arial" w:eastAsia="Arial" w:hAnsi="Arial"/>
                <w:sz w:val="18"/>
                <w:szCs w:val="18"/>
                <w:color w:val="auto"/>
              </w:rPr>
              <w:t>F-37</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German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IFRS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GAAP as at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222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Notes</w:t>
            </w:r>
          </w:p>
        </w:tc>
        <w:tc>
          <w:tcPr>
            <w:tcW w:w="146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0"/>
              </w:rPr>
              <w:t>Adjustment</w:t>
            </w:r>
          </w:p>
        </w:tc>
        <w:tc>
          <w:tcPr>
            <w:tcW w:w="11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4640" w:type="dxa"/>
            <w:vAlign w:val="bottom"/>
            <w:gridSpan w:val="3"/>
            <w:vMerge w:val="continue"/>
          </w:tcPr>
          <w:p>
            <w:pPr>
              <w:spacing w:after="0"/>
              <w:rPr>
                <w:sz w:val="13"/>
                <w:szCs w:val="13"/>
                <w:color w:val="auto"/>
              </w:rPr>
            </w:pPr>
          </w:p>
        </w:tc>
        <w:tc>
          <w:tcPr>
            <w:tcW w:w="222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51"/>
              <w:spacing w:after="0" w:line="158"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91"/>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Non-current assets</w:t>
            </w:r>
          </w:p>
        </w:tc>
        <w:tc>
          <w:tcPr>
            <w:tcW w:w="2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Intangible assets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C</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81,691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1,845</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 B</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financial assets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126,036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59,040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 C</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Deferred expense</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197,368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(7,730</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323,403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374,713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3"/>
            <w:vMerge w:val="continue"/>
          </w:tcPr>
          <w:p>
            <w:pPr>
              <w:spacing w:after="0"/>
              <w:rPr>
                <w:sz w:val="18"/>
                <w:szCs w:val="18"/>
                <w:color w:val="auto"/>
              </w:rPr>
            </w:pP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Share capital</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166,764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reserve</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Accumulated losses</w:t>
            </w: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(177,325)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reserves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(27,229)</w:t>
            </w: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Equity attributable to equity holders of the partent</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(1,633</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(47,663</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(49,296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(47,663</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(48,206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Financial liabilities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E</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41,634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8,715</w:t>
            </w:r>
          </w:p>
        </w:tc>
        <w:tc>
          <w:tcPr>
            <w:tcW w:w="2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214,026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non-current liabilities</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222,741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264,375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Provisions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7,059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(6,941)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payables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Contract liabilities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77,346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 F</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340"/>
              <w:spacing w:after="0"/>
              <w:rPr>
                <w:sz w:val="20"/>
                <w:szCs w:val="20"/>
                <w:color w:val="auto"/>
              </w:rPr>
            </w:pPr>
            <w:r>
              <w:rPr>
                <w:rFonts w:ascii="Arial" w:cs="Arial" w:eastAsia="Arial" w:hAnsi="Arial"/>
                <w:sz w:val="18"/>
                <w:szCs w:val="18"/>
                <w:color w:val="auto"/>
              </w:rPr>
              <w:t>Other liabilities</w:t>
            </w:r>
          </w:p>
        </w:tc>
        <w:tc>
          <w:tcPr>
            <w:tcW w:w="2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H</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and accrued expenses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 G</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(241,902)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282,312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(123,768</w:t>
            </w:r>
          </w:p>
        </w:tc>
        <w:tc>
          <w:tcPr>
            <w:tcW w:w="240" w:type="dxa"/>
            <w:vAlign w:val="bottom"/>
          </w:tcPr>
          <w:p>
            <w:pPr>
              <w:jc w:val="right"/>
              <w:ind w:right="16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158,544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323,946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98,973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Total equity and liabilities</w:t>
            </w:r>
          </w:p>
        </w:tc>
        <w:tc>
          <w:tcPr>
            <w:tcW w:w="2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323,403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20" w:type="dxa"/>
            <w:vAlign w:val="bottom"/>
            <w:gridSpan w:val="2"/>
            <w:vMerge w:val="restart"/>
          </w:tcPr>
          <w:p>
            <w:pPr>
              <w:jc w:val="right"/>
              <w:ind w:right="1491"/>
              <w:spacing w:after="0"/>
              <w:rPr>
                <w:sz w:val="20"/>
                <w:szCs w:val="20"/>
                <w:color w:val="auto"/>
              </w:rPr>
            </w:pPr>
            <w:r>
              <w:rPr>
                <w:rFonts w:ascii="Arial" w:cs="Arial" w:eastAsia="Arial" w:hAnsi="Arial"/>
                <w:sz w:val="18"/>
                <w:szCs w:val="18"/>
                <w:color w:val="auto"/>
              </w:rPr>
              <w:t>F-38</w:t>
            </w: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German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IFRS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GAAP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4"/>
          </w:tcPr>
          <w:p>
            <w:pPr>
              <w:jc w:val="center"/>
              <w:ind w:left="3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1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Adjustment</w:t>
            </w:r>
          </w:p>
        </w:tc>
        <w:tc>
          <w:tcPr>
            <w:tcW w:w="11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b w:val="1"/>
                <w:bCs w:val="1"/>
                <w:i w:val="1"/>
                <w:iCs w:val="1"/>
                <w:color w:val="auto"/>
                <w:w w:val="89"/>
              </w:rPr>
              <w:t>Note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Loss for the year</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(65,522)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(20,428)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(65,498</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(85,905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Depreciation of property, plant and equipment and intangible assets</w:t>
            </w:r>
          </w:p>
        </w:tc>
        <w:tc>
          <w:tcPr>
            <w:tcW w:w="4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expense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Net foreign exchange differences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Finance income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lease liability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Finance expense</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of an associate and a joint venture</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Movements in provisions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w w:val="98"/>
              </w:rPr>
              <w:t>Decrease/(Increase) in trade receivable, contract assets and further positions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Decrease/(Increase) in inventories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340"/>
              <w:spacing w:after="0" w:line="201" w:lineRule="exact"/>
              <w:rPr>
                <w:sz w:val="20"/>
                <w:szCs w:val="20"/>
                <w:color w:val="auto"/>
              </w:rPr>
            </w:pPr>
            <w:r>
              <w:rPr>
                <w:rFonts w:ascii="Arial" w:cs="Arial" w:eastAsia="Arial" w:hAnsi="Arial"/>
                <w:sz w:val="18"/>
                <w:szCs w:val="18"/>
                <w:color w:val="auto"/>
                <w:w w:val="96"/>
              </w:rPr>
              <w:t>(Decrease)/Increase in trade and other payables, contract liabilities and refund</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520"/>
              <w:spacing w:after="0"/>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Interest paid</w:t>
            </w:r>
          </w:p>
        </w:tc>
        <w:tc>
          <w:tcPr>
            <w:tcW w:w="4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 operating activities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(12,745</w:t>
            </w:r>
          </w:p>
        </w:tc>
        <w:tc>
          <w:tcPr>
            <w:tcW w:w="220" w:type="dxa"/>
            <w:vAlign w:val="bottom"/>
          </w:tcPr>
          <w:p>
            <w:pPr>
              <w:jc w:val="right"/>
              <w:ind w:right="140"/>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(39,818</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(52,562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(24,320)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Purchase of intangibles</w:t>
            </w:r>
          </w:p>
        </w:tc>
        <w:tc>
          <w:tcPr>
            <w:tcW w:w="46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M</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(74,882)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(94,009)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41,460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(52,549)</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(1,642,634</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cash and cash equivalents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(106,754)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Change in cash resulting from exchange rate differences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1 January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31 December</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vMerge w:val="restart"/>
          </w:tcPr>
          <w:p>
            <w:pPr>
              <w:ind w:left="5320"/>
              <w:spacing w:after="0"/>
              <w:rPr>
                <w:sz w:val="20"/>
                <w:szCs w:val="20"/>
                <w:color w:val="auto"/>
              </w:rPr>
            </w:pPr>
            <w:r>
              <w:rPr>
                <w:rFonts w:ascii="Arial" w:cs="Arial" w:eastAsia="Arial" w:hAnsi="Arial"/>
                <w:sz w:val="18"/>
                <w:szCs w:val="18"/>
                <w:color w:val="auto"/>
              </w:rPr>
              <w:t>F-39</w:t>
            </w: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20"/>
        <w:spacing w:after="0" w:line="282" w:lineRule="auto"/>
        <w:rPr>
          <w:sz w:val="20"/>
          <w:szCs w:val="20"/>
          <w:color w:val="auto"/>
        </w:rPr>
      </w:pPr>
      <w:r>
        <w:rPr>
          <w:rFonts w:ascii="Arial" w:cs="Arial" w:eastAsia="Arial" w:hAnsi="Arial"/>
          <w:sz w:val="18"/>
          <w:szCs w:val="18"/>
          <w:b w:val="1"/>
          <w:bCs w:val="1"/>
          <w:color w:val="auto"/>
        </w:rPr>
        <w:t>Notes to the reconciliation of equity as at 1 January 2017 and December 2017, total comprehensive income and cash flow for the year ended December 31, 2017</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Property, Plant and Equipment</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Under IFRS, carrying amounts of Property, plant and equipment have been determined based on the useful lives listed in Note 2.3.8. The useful lives under IFRS reflect the economic lives of the respective assets appropriately and differ from those according to German GAAP. According to IFRS the carrying amounts of Property, Plant and Equipment as of January 1, 2017 are k€1,256 higher compared to HGB (December 31, 2017: k€5,293 higher).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Leasing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German GAAP, all leases have been classified as operating leases and no assets or liabilities have been capitalized for the Group’s leases.</w:t>
      </w:r>
    </w:p>
    <w:p>
      <w:pPr>
        <w:spacing w:after="0" w:line="248"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Under IFRS, all leases except short-term leases and leases of low-value assets have been capitalized, which leads to right-of-use assets and corresponding lease liabilities in the balance sheet. According to IFRS the Right-of-use assets as of 1 January 2017 amount to k€28,132 (December 31, 2017: k€51,915), while the corresponding lease liabilities as of 1 January 2017 are k€28,132 (December 31, 2017: k€52,182).</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statement of operations the finance costs have increased as a result from interest expenses, resulting from the lease liabilities.</w:t>
      </w:r>
    </w:p>
    <w:p>
      <w:pPr>
        <w:spacing w:after="0" w:line="225" w:lineRule="exact"/>
        <w:rPr>
          <w:sz w:val="20"/>
          <w:szCs w:val="20"/>
          <w:color w:val="auto"/>
        </w:rPr>
      </w:pPr>
    </w:p>
    <w:p>
      <w:pPr>
        <w:ind w:left="200" w:right="260" w:firstLine="441"/>
        <w:spacing w:after="0" w:line="308" w:lineRule="auto"/>
        <w:rPr>
          <w:sz w:val="20"/>
          <w:szCs w:val="20"/>
          <w:color w:val="auto"/>
        </w:rPr>
      </w:pPr>
      <w:r>
        <w:rPr>
          <w:rFonts w:ascii="Arial" w:cs="Arial" w:eastAsia="Arial" w:hAnsi="Arial"/>
          <w:sz w:val="17"/>
          <w:szCs w:val="17"/>
          <w:color w:val="auto"/>
        </w:rPr>
        <w:t>In the statement of cash flows the Group reported cash payments for the reduction of the outstanding liability relating to leases under financing activities for the purposes of IFRS and the interest on the lease liability is reported in the cash flows from operating activities.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 Other Intangible Assets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Carrying amounts of Intangible Assets have been determined based on the useful lives listed in note 2.3.10. The useful lives in the IFRS financial statements reflect the consumption of use of the respective assets appropriately. According to IFRS, the carrying amounts of Other Intangible Assets as of 1 January 2017 are k€86 higher compared to German GAAP (December 31, 2017: k€1,512 higher).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 Goodwill</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According to German GAAP, goodwill is amortized on a straight-line basis over a period of five years. Under IFRS goodwill is tested annually for impairment (see Note 2.3.1).</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 Inventories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German GAAP, inventories comprise amongst other items capitalized cost for products in the process of production for customer orders. Under IFRS, these customer orders are contracts with customers including performance obligations satisfied over time. Therefore, capitalized costs have to be expensed and revenue has to be recognized dependent on the measure of progress. As BioNTech does not have an unconditional right to consideration for goods and services transferred at this moment, BioNTech presents a contract asset or a contract liability for each contract with a customer depending on the proportion of goods and services transferred and consideration received.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 Deferred income and accrued expenses</w:t>
      </w:r>
    </w:p>
    <w:p>
      <w:pPr>
        <w:spacing w:after="0" w:line="121"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Under German GAAP, expenses from license payments were capitalized as prepaid expenses and released over the term of the license to the statement of operations. Under IFRS, these costs are inputs to the satisfaction of performance obligation and have to be expensed as incurred.</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60" w:right="4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 Deferred income and revenues</w:t>
      </w:r>
    </w:p>
    <w:p>
      <w:pPr>
        <w:spacing w:after="0" w:line="121"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Under German GAAP, upfront and advance payments received are presented as deferred income. Under IFRS, if a payment from a contract with a customer is received or due (whichever is earlier) before BioNTech transfers a good or service to the customer or these payments exceed the goods and services transferred to a customer so far, a contract liability shall be presented. The contract liability is presented as current and non-current.</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Furthermore, under German GAAP, revenues from advance payments received were partly recognized on a straight-line basis and additional milestone payments were recognized as revenue when the milestone payments were due. Under IFRS, the timing of revenue recognition of milestone payments as a variable consideration depends on the satisfaction of the performance obligation to which the variable consideration is allocated. Therefore, under IFRS, revenue from performance obligations satisfied over time is only recognized by measuring the progress toward complete satisfaction of the respective performance obligation. Additionally, under IFRS, reimbursed costs were presented net instead of gross presentation under German GAAP.</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 Other current liabilities and other operating income</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Under German GAAP, other current liabilities are presented for a grant received from a customer related to the acquisition of property, plant and equipment and intangibles. Under IFRS, these payments received are treated as part of the transaction price and therefore presented as contract liability.</w:t>
      </w:r>
    </w:p>
    <w:p>
      <w:pPr>
        <w:spacing w:after="0" w:line="1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German GAAP, other operating income was presented for a partial release of the grant received from the customer related to amortization and depreciation of acquired assets attributable to the customer. Under IFRS, revenue has only to be recognized depending on the measure of progress of the related performance obligation.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 Cost of sales</w:t>
      </w:r>
    </w:p>
    <w:p>
      <w:pPr>
        <w:spacing w:after="0" w:line="121"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Under German GAAP, expenses from license payments were capitalized as prepaid expenses and released over the term of the license (see D. Accrued expenses). According to IFRS, these expenses are expensed as incurred as at January 1, 2017 as these expenses were costs of a performance obligation.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 Research and development expenses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Under German GAAP, reimbursements of research and development costs were presented as revenue. Under IFRS, reimbursed costs are presented net instead of a presentation as revenues.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 Share-based payments</w:t>
      </w:r>
    </w:p>
    <w:p>
      <w:pPr>
        <w:spacing w:after="0" w:line="12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Under German GAAP, the Group recognized only the costs for the equity-settled share-based payment plan as expenses. IFRS requires the fair value of the equity-settled share-based payment plan to be determined using an appropriate valuation model. Costs were recognized in fiscal year 2017 because the plan vested immediately. An additional expense of k€5,291 was recognized in the statement of operations for the year ended December 31, 2017. Please refer to Note 16 for further information on the share-based payment plan.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 Other operating expenses/Finance cost</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Under German GAAP, foreign exchange gains and losses are shown in other operating expenses and other operating income. Under IFRS, net foreign exchange losses of k€25,954 are reclassified and shown as finance cost within finance result.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20"/>
          </w:cols>
          <w:pgMar w:left="240" w:top="459" w:right="4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 Cash flow from investing activities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 xml:space="preserve">Under German GAAP, the Group presented the acquisition of an intangible asset </w:t>
      </w:r>
      <w:r>
        <w:rPr>
          <w:rFonts w:ascii="Arial" w:cs="Arial" w:eastAsia="Arial" w:hAnsi="Arial"/>
          <w:sz w:val="18"/>
          <w:szCs w:val="18"/>
          <w:i w:val="1"/>
          <w:iCs w:val="1"/>
          <w:color w:val="auto"/>
        </w:rPr>
        <w:t>(e.g.</w:t>
      </w:r>
      <w:r>
        <w:rPr>
          <w:rFonts w:ascii="Arial" w:cs="Arial" w:eastAsia="Arial" w:hAnsi="Arial"/>
          <w:sz w:val="18"/>
          <w:szCs w:val="18"/>
          <w:color w:val="auto"/>
        </w:rPr>
        <w:t>, patent) in the cash flow from investing activities with a corresponding increase in trade and other payables (k€41,460 were payable as of December 31, 2017).</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Under IFRS, the Group only reports the cash payments made during fiscal year 2017 to acquire the intangible asset in the cash flows arising from investing activities. Please refer to Note 10 for further information on such intangible assets.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 Equity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change in the opening equity balance is the net accumulation of all IFRS opening balance adjustments.</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Standards issued but not yet effective</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new and amended standards and interpretations that are issued, but not yet effective, up to the date of issuance of the Group’s financial statements and that might have an impact on the Group’s financial statements are disclosed below. The Group intends to adopt these new and amended standards and interpretations, if applicable, when they become effective.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74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Standards/Interpretation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85"/>
        </w:trPr>
        <w:tc>
          <w:tcPr>
            <w:tcW w:w="2300" w:type="dxa"/>
            <w:vAlign w:val="bottom"/>
            <w:vMerge w:val="restart"/>
          </w:tcPr>
          <w:p>
            <w:pPr>
              <w:spacing w:after="0"/>
              <w:rPr>
                <w:sz w:val="20"/>
                <w:szCs w:val="20"/>
                <w:color w:val="auto"/>
              </w:rPr>
            </w:pPr>
            <w:r>
              <w:rPr>
                <w:rFonts w:ascii="Arial" w:cs="Arial" w:eastAsia="Arial" w:hAnsi="Arial"/>
                <w:sz w:val="18"/>
                <w:szCs w:val="18"/>
                <w:color w:val="auto"/>
              </w:rPr>
              <w:t>IFRIC 23</w:t>
            </w:r>
          </w:p>
        </w:tc>
        <w:tc>
          <w:tcPr>
            <w:tcW w:w="7400" w:type="dxa"/>
            <w:vAlign w:val="bottom"/>
            <w:gridSpan w:val="3"/>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application</w:t>
            </w:r>
          </w:p>
        </w:tc>
        <w:tc>
          <w:tcPr>
            <w:tcW w:w="0" w:type="dxa"/>
            <w:vAlign w:val="bottom"/>
          </w:tcPr>
          <w:p>
            <w:pPr>
              <w:spacing w:after="0"/>
              <w:rPr>
                <w:sz w:val="1"/>
                <w:szCs w:val="1"/>
                <w:color w:val="auto"/>
              </w:rPr>
            </w:pPr>
          </w:p>
        </w:tc>
      </w:tr>
      <w:tr>
        <w:trPr>
          <w:trHeight w:val="224"/>
        </w:trPr>
        <w:tc>
          <w:tcPr>
            <w:tcW w:w="2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Uncertainty over income tax treatment</w:t>
            </w:r>
          </w:p>
        </w:tc>
        <w:tc>
          <w:tcPr>
            <w:tcW w:w="20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Amendments to IFRS 9</w:t>
            </w:r>
          </w:p>
        </w:tc>
        <w:tc>
          <w:tcPr>
            <w:tcW w:w="7400" w:type="dxa"/>
            <w:vAlign w:val="bottom"/>
            <w:gridSpan w:val="3"/>
          </w:tcPr>
          <w:p>
            <w:pPr>
              <w:ind w:left="240"/>
              <w:spacing w:after="0"/>
              <w:rPr>
                <w:sz w:val="20"/>
                <w:szCs w:val="20"/>
                <w:color w:val="auto"/>
              </w:rPr>
            </w:pPr>
            <w:r>
              <w:rPr>
                <w:rFonts w:ascii="Arial" w:cs="Arial" w:eastAsia="Arial" w:hAnsi="Arial"/>
                <w:sz w:val="18"/>
                <w:szCs w:val="18"/>
                <w:color w:val="auto"/>
              </w:rPr>
              <w:t>Prepayment Features with Negative Compensation</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Amendments to IAS 19</w:t>
            </w:r>
          </w:p>
        </w:tc>
        <w:tc>
          <w:tcPr>
            <w:tcW w:w="7400" w:type="dxa"/>
            <w:vAlign w:val="bottom"/>
            <w:gridSpan w:val="3"/>
          </w:tcPr>
          <w:p>
            <w:pPr>
              <w:ind w:left="240"/>
              <w:spacing w:after="0"/>
              <w:rPr>
                <w:sz w:val="20"/>
                <w:szCs w:val="20"/>
                <w:color w:val="auto"/>
              </w:rPr>
            </w:pPr>
            <w:r>
              <w:rPr>
                <w:rFonts w:ascii="Arial" w:cs="Arial" w:eastAsia="Arial" w:hAnsi="Arial"/>
                <w:sz w:val="18"/>
                <w:szCs w:val="18"/>
                <w:color w:val="auto"/>
              </w:rPr>
              <w:t>Plan Amendment, Curtailment or Settlement</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Amendments to IAS 28</w:t>
            </w:r>
          </w:p>
        </w:tc>
        <w:tc>
          <w:tcPr>
            <w:tcW w:w="7400" w:type="dxa"/>
            <w:vAlign w:val="bottom"/>
            <w:gridSpan w:val="3"/>
          </w:tcPr>
          <w:p>
            <w:pPr>
              <w:ind w:left="240"/>
              <w:spacing w:after="0"/>
              <w:rPr>
                <w:sz w:val="20"/>
                <w:szCs w:val="20"/>
                <w:color w:val="auto"/>
              </w:rPr>
            </w:pPr>
            <w:r>
              <w:rPr>
                <w:rFonts w:ascii="Arial" w:cs="Arial" w:eastAsia="Arial" w:hAnsi="Arial"/>
                <w:sz w:val="18"/>
                <w:szCs w:val="18"/>
                <w:color w:val="auto"/>
              </w:rPr>
              <w:t>Long-term interests in associates and joint ventures</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310"/>
        </w:trPr>
        <w:tc>
          <w:tcPr>
            <w:tcW w:w="2300" w:type="dxa"/>
            <w:vAlign w:val="bottom"/>
          </w:tcPr>
          <w:p>
            <w:pPr>
              <w:spacing w:after="0"/>
              <w:rPr>
                <w:sz w:val="20"/>
                <w:szCs w:val="20"/>
                <w:color w:val="auto"/>
              </w:rPr>
            </w:pPr>
            <w:r>
              <w:rPr>
                <w:rFonts w:ascii="Arial" w:cs="Arial" w:eastAsia="Arial" w:hAnsi="Arial"/>
                <w:sz w:val="18"/>
                <w:szCs w:val="18"/>
                <w:color w:val="auto"/>
              </w:rPr>
              <w:t>Annual improvements 2015-</w:t>
            </w:r>
          </w:p>
        </w:tc>
        <w:tc>
          <w:tcPr>
            <w:tcW w:w="7400" w:type="dxa"/>
            <w:vAlign w:val="bottom"/>
            <w:gridSpan w:val="3"/>
          </w:tcPr>
          <w:p>
            <w:pPr>
              <w:ind w:left="240"/>
              <w:spacing w:after="0"/>
              <w:rPr>
                <w:sz w:val="20"/>
                <w:szCs w:val="20"/>
                <w:color w:val="auto"/>
              </w:rPr>
            </w:pPr>
            <w:r>
              <w:rPr>
                <w:rFonts w:ascii="Arial" w:cs="Arial" w:eastAsia="Arial" w:hAnsi="Arial"/>
                <w:sz w:val="18"/>
                <w:szCs w:val="18"/>
                <w:color w:val="auto"/>
              </w:rPr>
              <w:t>Annual improvement cycle to IFRS 2015-2017</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2017 Cycle</w:t>
            </w:r>
          </w:p>
        </w:tc>
        <w:tc>
          <w:tcPr>
            <w:tcW w:w="24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does not expect a significant impact of the application of these standards.</w:t>
      </w:r>
    </w:p>
    <w:p>
      <w:pPr>
        <w:spacing w:after="0" w:line="370" w:lineRule="exact"/>
        <w:rPr>
          <w:sz w:val="20"/>
          <w:szCs w:val="20"/>
          <w:color w:val="auto"/>
        </w:rPr>
      </w:pPr>
    </w:p>
    <w:p>
      <w:pPr>
        <w:ind w:left="980" w:hanging="776"/>
        <w:spacing w:after="0"/>
        <w:tabs>
          <w:tab w:leader="none" w:pos="98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 continued</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The preparation of the Group’s consolidated financial statements requires management to make judgements, estimates and assumptions that affect the reported amounts of revenues, expenses, assets and liabilities, the accompanying disclosures, and the disclosure of contingent liabilities. Uncertainty about these assumptions and estimates could result in outcomes that require a material adjustment to the carrying amount of assets or liabilities affected in future periods.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Judgments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the process of applying the Group’s accounting policies, management has made the following judgments, which have the most significant effect on the amounts recognized in the consolidated financial statements: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BioNTech applied the following judgements that significantly affect the determination of the amount and timing of revenue from contracts with customers:</w:t>
      </w:r>
    </w:p>
    <w:p>
      <w:pPr>
        <w:spacing w:after="0" w:line="76" w:lineRule="exact"/>
        <w:rPr>
          <w:sz w:val="20"/>
          <w:szCs w:val="20"/>
          <w:color w:val="auto"/>
        </w:rPr>
      </w:pPr>
    </w:p>
    <w:p>
      <w:pPr>
        <w:ind w:left="5540" w:right="1860" w:hanging="4796"/>
        <w:spacing w:after="0" w:line="449" w:lineRule="auto"/>
        <w:tabs>
          <w:tab w:leader="none" w:pos="117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Identification and determination of the nature of performance obligations in collaboration and license agreements. F-42</w:t>
      </w:r>
    </w:p>
    <w:p>
      <w:pPr>
        <w:sectPr>
          <w:pgSz w:w="11900" w:h="16838" w:orient="portrait"/>
          <w:cols w:equalWidth="0" w:num="1">
            <w:col w:w="11240"/>
          </w:cols>
          <w:pgMar w:left="240" w:top="459" w:right="41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BioNTech generates revenues from collaboration and license agreements under which BioNTech grants licenses to use, research, develop, manufacture and commercialize candidates and products. As these agreements comprise several promises, it must be assessed whether these promises are capable of being distinct within the context of the contract. If these promises are not distinct, they have to be combined until the bundle of promised goods and services is distinct. For some agreements, this results in BioNTech accounting for all goods and services promised in a collaboration and license agreement as a single performance obligation with a single measure of progress.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these combined performance obligations, it must be assessed which of these promises is the predominant promise to determine the nature of the performance obligation. BioNTech determined that the grant of the license is the predominant promise within the (combined) performance obligation to grant a license to the customers. It was assessed that BioNTech grants their customers a right to access or a right to use BioNTech’s intellectual property due to the collaboration and license agreements.</w:t>
      </w:r>
    </w:p>
    <w:p>
      <w:pPr>
        <w:spacing w:after="0" w:line="187"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auto"/>
        </w:rPr>
        <w:t>Consequently, the promise to grant a license is accounted for as a performance obligation satisfied over time as BioNTech’s customer simultaneously receive and consumes the benefits from BioNTech’s performance.</w:t>
      </w:r>
    </w:p>
    <w:p>
      <w:pPr>
        <w:spacing w:after="0" w:line="76" w:lineRule="exact"/>
        <w:rPr>
          <w:sz w:val="20"/>
          <w:szCs w:val="20"/>
          <w:color w:val="auto"/>
        </w:rPr>
      </w:pPr>
    </w:p>
    <w:p>
      <w:pPr>
        <w:ind w:left="1180" w:hanging="436"/>
        <w:spacing w:after="0"/>
        <w:tabs>
          <w:tab w:leader="none" w:pos="11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Estimation of variable consideration and assessment of the constraint when determining the deferred revenue.</w:t>
      </w:r>
    </w:p>
    <w:p>
      <w:pPr>
        <w:spacing w:after="0" w:line="225"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 xml:space="preserve">BioNTech’s collaboration and license agreements comprise variable considerations which are contingent on the occurrence or non-occurrence of a future event </w:t>
      </w:r>
      <w:r>
        <w:rPr>
          <w:rFonts w:ascii="Arial" w:cs="Arial" w:eastAsia="Arial" w:hAnsi="Arial"/>
          <w:sz w:val="16"/>
          <w:szCs w:val="16"/>
          <w:i w:val="1"/>
          <w:iCs w:val="1"/>
          <w:color w:val="auto"/>
        </w:rPr>
        <w:t>(i.e.</w:t>
      </w:r>
      <w:r>
        <w:rPr>
          <w:rFonts w:ascii="Arial" w:cs="Arial" w:eastAsia="Arial" w:hAnsi="Arial"/>
          <w:sz w:val="16"/>
          <w:szCs w:val="16"/>
          <w:color w:val="auto"/>
        </w:rPr>
        <w:t>, reaching a certain milestone). When determining the deferred revenue of a collaboration and license agreement, BioNTech is required to estimate the amount of consideration to which it will be entitled in exchange for transferring the promised goods or services to the customer.</w:t>
      </w:r>
    </w:p>
    <w:p>
      <w:pPr>
        <w:spacing w:after="0" w:line="14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there are usually only two possible outcomes (</w:t>
      </w:r>
      <w:r>
        <w:rPr>
          <w:rFonts w:ascii="Arial" w:cs="Arial" w:eastAsia="Arial" w:hAnsi="Arial"/>
          <w:sz w:val="18"/>
          <w:szCs w:val="18"/>
          <w:i w:val="1"/>
          <w:iCs w:val="1"/>
          <w:color w:val="auto"/>
        </w:rPr>
        <w:t>i.e.</w:t>
      </w:r>
      <w:r>
        <w:rPr>
          <w:rFonts w:ascii="Arial" w:cs="Arial" w:eastAsia="Arial" w:hAnsi="Arial"/>
          <w:sz w:val="18"/>
          <w:szCs w:val="18"/>
          <w:color w:val="auto"/>
        </w:rPr>
        <w:t>, milestone is reached or not), BioNTech has assessed that the method of the most likely amount is the best method to predict the amount of consideration to which BioNTech will be entitled.</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The most likely amount of these milestone payments </w:t>
      </w:r>
      <w:r>
        <w:rPr>
          <w:rFonts w:ascii="Arial" w:cs="Arial" w:eastAsia="Arial" w:hAnsi="Arial"/>
          <w:sz w:val="18"/>
          <w:szCs w:val="18"/>
          <w:i w:val="1"/>
          <w:iCs w:val="1"/>
          <w:color w:val="auto"/>
        </w:rPr>
        <w:t>(i.e.</w:t>
      </w:r>
      <w:r>
        <w:rPr>
          <w:rFonts w:ascii="Arial" w:cs="Arial" w:eastAsia="Arial" w:hAnsi="Arial"/>
          <w:sz w:val="18"/>
          <w:szCs w:val="18"/>
          <w:color w:val="auto"/>
        </w:rPr>
        <w:t>, the full milestone payment) is only included in the transaction price if the occurrence of reaching future milestone is highly probable. BioNTech has assessed that the likelihood of achieving the respective milestone decreases depending on how far the expected date of achieving the milestone lies in the future.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BioNTech has concluded that future milestone payments are fully constrained at the end of the current fiscal year.</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Future milestone payments would become unconstrained at the satisfaction of the milestone event, specifically a development event, a regulatory approval or achievement of a sales milestone.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carrying amounts of the revenue recognition-related contract balances, see Note 4.</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59" w:right="4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Share-based payments</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Determining the fair value of share-based payment transactions requires the most appropriate valuation for the specific program, which depends on the underlying terms and conditions.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estimate also requires the determination of the most appropriate inputs to the valuation model, including the fair value of the share option.</w:t>
      </w:r>
    </w:p>
    <w:p>
      <w:pPr>
        <w:spacing w:after="0" w:line="24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 xml:space="preserve">Due to the lack of quoted market prices, the Group has used an external appraisal for the measurement of the cash- and equity-settled transactions’ fair value at the grant date considering certain assumption relating to, </w:t>
      </w:r>
      <w:r>
        <w:rPr>
          <w:rFonts w:ascii="Arial" w:cs="Arial" w:eastAsia="Arial" w:hAnsi="Arial"/>
          <w:sz w:val="17"/>
          <w:szCs w:val="17"/>
          <w:i w:val="1"/>
          <w:iCs w:val="1"/>
          <w:color w:val="auto"/>
        </w:rPr>
        <w:t>e.g.</w:t>
      </w:r>
      <w:r>
        <w:rPr>
          <w:rFonts w:ascii="Arial" w:cs="Arial" w:eastAsia="Arial" w:hAnsi="Arial"/>
          <w:sz w:val="17"/>
          <w:szCs w:val="17"/>
          <w:color w:val="auto"/>
        </w:rPr>
        <w:t>, the volatility of stock price, the determination of an appropriate risk-free interest rate, expected dividends and the probability of reaching a minimum hurdle to exercise the relevant options.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Right-of-use assets are measured at the amount equal to the lease liability, adjusted by the amount of any prepaid or accrued lease payments relating to that lease.</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Significant accounting judgments are required for the determination of the appropriate incremental borrowing rate, which is to be used in the calculation of the asset and liability that are recognized in the financial statements regarding the lease contracts.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carrying amounts of right-of-use assets and the related lease liability, see Note 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Deferred tax assets are recognized for unused tax losses only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w:t>
      </w:r>
    </w:p>
    <w:p>
      <w:pPr>
        <w:spacing w:after="0" w:line="181"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The Group has tax losses carried forward and these losses relate to subsidiaries that have a history of losses. The subsidiaries neither have any taxable temporary difference nor any tax planning opportunities available that could partly support the recognition of these losses as deferred tax assets.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this basis, the Group has determined that it cannot recognize deferred tax assets on the tax losses carried forward.</w:t>
      </w:r>
    </w:p>
    <w:p>
      <w:pPr>
        <w:spacing w:after="0" w:line="370" w:lineRule="exact"/>
        <w:rPr>
          <w:sz w:val="20"/>
          <w:szCs w:val="20"/>
          <w:color w:val="auto"/>
        </w:rPr>
      </w:pPr>
    </w:p>
    <w:p>
      <w:pPr>
        <w:ind w:left="980" w:hanging="776"/>
        <w:spacing w:after="0"/>
        <w:tabs>
          <w:tab w:leader="none" w:pos="98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30"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w:t>
      </w:r>
      <w:r>
        <w:rPr>
          <w:rFonts w:ascii="Arial" w:cs="Arial" w:eastAsia="Arial" w:hAnsi="Arial"/>
          <w:sz w:val="16"/>
          <w:szCs w:val="16"/>
          <w:b w:val="1"/>
          <w:bCs w:val="1"/>
          <w:color w:val="auto"/>
        </w:rPr>
        <w:t>Disaggregated revenue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out below is the disaggregation of the Group’s revenue from contracts with customers:</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71"/>
        </w:trPr>
        <w:tc>
          <w:tcPr>
            <w:tcW w:w="47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3620" w:type="dxa"/>
            <w:vAlign w:val="bottom"/>
          </w:tcPr>
          <w:p>
            <w:pPr>
              <w:spacing w:after="0"/>
              <w:rPr>
                <w:sz w:val="14"/>
                <w:szCs w:val="14"/>
                <w:color w:val="auto"/>
              </w:rPr>
            </w:pPr>
          </w:p>
        </w:tc>
        <w:tc>
          <w:tcPr>
            <w:tcW w:w="1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29"/>
        </w:trPr>
        <w:tc>
          <w:tcPr>
            <w:tcW w:w="4700" w:type="dxa"/>
            <w:vAlign w:val="bottom"/>
            <w:gridSpan w:val="3"/>
            <w:vMerge w:val="continue"/>
          </w:tcPr>
          <w:p>
            <w:pPr>
              <w:spacing w:after="0"/>
              <w:rPr>
                <w:sz w:val="11"/>
                <w:szCs w:val="11"/>
                <w:color w:val="auto"/>
              </w:rPr>
            </w:pPr>
          </w:p>
        </w:tc>
        <w:tc>
          <w:tcPr>
            <w:tcW w:w="3620" w:type="dxa"/>
            <w:vAlign w:val="bottom"/>
          </w:tcPr>
          <w:p>
            <w:pPr>
              <w:spacing w:after="0"/>
              <w:rPr>
                <w:sz w:val="11"/>
                <w:szCs w:val="11"/>
                <w:color w:val="auto"/>
              </w:rPr>
            </w:pPr>
          </w:p>
        </w:tc>
        <w:tc>
          <w:tcPr>
            <w:tcW w:w="700" w:type="dxa"/>
            <w:vAlign w:val="bottom"/>
            <w:tcBorders>
              <w:top w:val="single" w:sz="8" w:color="auto"/>
            </w:tcBorders>
          </w:tcPr>
          <w:p>
            <w:pPr>
              <w:jc w:val="right"/>
              <w:ind w:right="141"/>
              <w:spacing w:after="0" w:line="129"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3"/>
              </w:rPr>
              <w:t>Revenues resulting from collaboration and license agreements</w:t>
            </w:r>
          </w:p>
        </w:tc>
        <w:tc>
          <w:tcPr>
            <w:tcW w:w="36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€101,837</w:t>
            </w: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€ 42,333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Eli Lilly and Company</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Genentech Inc.</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Genmab A/S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2,740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Pfizer Inc.</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Sanofi S.A.</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41,712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other sales transactions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Sum</w:t>
            </w:r>
          </w:p>
        </w:tc>
        <w:tc>
          <w:tcPr>
            <w:tcW w:w="3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127,575</w:t>
            </w: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 xml:space="preserve"> 61,598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320" w:type="dxa"/>
            <w:vAlign w:val="bottom"/>
            <w:gridSpan w:val="2"/>
          </w:tcPr>
          <w:p>
            <w:pPr>
              <w:jc w:val="right"/>
              <w:ind w:right="3701"/>
              <w:spacing w:after="0"/>
              <w:rPr>
                <w:sz w:val="20"/>
                <w:szCs w:val="20"/>
                <w:color w:val="auto"/>
              </w:rPr>
            </w:pPr>
            <w:r>
              <w:rPr>
                <w:rFonts w:ascii="Arial" w:cs="Arial" w:eastAsia="Arial" w:hAnsi="Arial"/>
                <w:sz w:val="18"/>
                <w:szCs w:val="18"/>
                <w:color w:val="auto"/>
              </w:rPr>
              <w:t>F-44</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Through December 31, 2018, BioNTech received k€279,542 in upfront fees from Genentech under the Genentech Collaboration Agreement. Such amounts are initially deferred and subsequently recognized as revenue as the Company performs under the agreement and measured based on the costs incurred under the respective research programs. Of these upfront fees, k€49,536 was recognized as revenue in the year ended 2018 (k€27,829 in 2017). As of December 31, 2018, k€195,582 of upfront fees is recognized as deferred revenue within Contract liabilities in the statement of financial position.</w:t>
      </w:r>
    </w:p>
    <w:p>
      <w:pPr>
        <w:spacing w:after="0" w:line="15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Through December 31, 2018 BioNTech received k€59,560 in upfront and near-term milestone payments from Sanofi under the Sanofi Agreement. Such amounts are initially deferred and subsequently recognized as revenue as BioNTech performs under the agreement and measured based on the costs incurred under the respective research programs. Of these upfront fees, k€8,535 was recognized as revenue in the year ended 2018 (k€5,665 in 2017). As of December 31, 2018, k€38,716 of upfront fees is recognized as deferred revenue within Contract liabilities in the statement of financial position. In addition, during the year ended December 31, 2018, BioNTech recognized k€33,177 of revenue from Sanofi for reimbursement of 50% of CellScript sublicense costs pursuant to a separate sub-sublicense agreement dated December 22, 2018.</w:t>
      </w:r>
    </w:p>
    <w:p>
      <w:pPr>
        <w:spacing w:after="0" w:line="178"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Revenue from BioNTech’s collaborators that exceeds 10% of BioNTech’s total revenue is included in the segments Clinical, Manufacturing and Technology Platform. Of the revenue from other sales transactions, k€10,748 in 2018 (k€10,652 in 2017) apply to product sales.</w:t>
      </w: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4.2</w:t>
            </w:r>
          </w:p>
        </w:tc>
        <w:tc>
          <w:tcPr>
            <w:tcW w:w="3880" w:type="dxa"/>
            <w:vAlign w:val="bottom"/>
            <w:gridSpan w:val="3"/>
          </w:tcPr>
          <w:p>
            <w:pPr>
              <w:ind w:left="280"/>
              <w:spacing w:after="0"/>
              <w:rPr>
                <w:sz w:val="20"/>
                <w:szCs w:val="20"/>
                <w:color w:val="auto"/>
              </w:rPr>
            </w:pPr>
            <w:r>
              <w:rPr>
                <w:rFonts w:ascii="Arial" w:cs="Arial" w:eastAsia="Arial" w:hAnsi="Arial"/>
                <w:sz w:val="18"/>
                <w:szCs w:val="18"/>
                <w:b w:val="1"/>
                <w:bCs w:val="1"/>
                <w:color w:val="auto"/>
              </w:rPr>
              <w:t>Contract balances</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00" w:type="dxa"/>
            <w:vAlign w:val="bottom"/>
          </w:tcPr>
          <w:p>
            <w:pPr>
              <w:spacing w:after="0"/>
              <w:rPr>
                <w:sz w:val="24"/>
                <w:szCs w:val="24"/>
                <w:color w:val="auto"/>
              </w:rPr>
            </w:pPr>
          </w:p>
        </w:tc>
        <w:tc>
          <w:tcPr>
            <w:tcW w:w="38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2660" w:type="dxa"/>
            <w:vAlign w:val="bottom"/>
            <w:vMerge w:val="restart"/>
          </w:tcPr>
          <w:p>
            <w:pPr>
              <w:spacing w:after="0"/>
              <w:rPr>
                <w:sz w:val="24"/>
                <w:szCs w:val="24"/>
                <w:color w:val="auto"/>
              </w:rPr>
            </w:pPr>
          </w:p>
        </w:tc>
        <w:tc>
          <w:tcPr>
            <w:tcW w:w="216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8"/>
        </w:trPr>
        <w:tc>
          <w:tcPr>
            <w:tcW w:w="5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2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18,938</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4,575</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Contract assets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271,674</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8"/>
              </w:rPr>
              <w:t>291,372</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6"/>
              </w:rPr>
              <w:t>306,880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Trade receivables are non-interest bearing and are generally settled within 20 to 30 days.</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Contract assets are recognized for revenue earned from BioNTech’s performance of creating customer-specific cell and gene therapies. Upon completion of the produced product or upon reaching a contracted progress payment, the amounts recognized as contract assets are reclassified to trade receivables. As the customers’ advance payments exceeded BioNTech’s transferred goods and services for which a conditional right to consideration exists in all contracts in 2017 and 2018, only contract liabilities are presented.</w:t>
      </w:r>
    </w:p>
    <w:p>
      <w:pPr>
        <w:spacing w:after="0" w:line="18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Additionally, contract liabilities include long-term advances received from BioNTech’s major collaboration and license agreements. The outstanding balances of these accounts decreased in 2018 and 2017 as revenues resulting from these agreements exceeded further payments received from the collaborators due to the achievement of milestones. BioNTech received payments or an unconditional right of consideration of k€71,761 in 2018 (2017: k€26,552) from the collaboration and license agreements and recognized revenues resulting from collaboration and license agreements of k€101,837 in 2018 (2017: k€42,333), which reduced the contract liabilities.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Set out below is the amount of revenue recognized from:</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87"/>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 thousands)</w:t>
            </w:r>
          </w:p>
        </w:tc>
        <w:tc>
          <w:tcPr>
            <w:tcW w:w="5400" w:type="dxa"/>
            <w:vAlign w:val="bottom"/>
          </w:tcPr>
          <w:p>
            <w:pPr>
              <w:spacing w:after="0"/>
              <w:rPr>
                <w:sz w:val="16"/>
                <w:szCs w:val="16"/>
                <w:color w:val="auto"/>
              </w:rPr>
            </w:pPr>
          </w:p>
        </w:tc>
        <w:tc>
          <w:tcPr>
            <w:tcW w:w="19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6"/>
                <w:szCs w:val="16"/>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Amounts included in contract liabilities at the beginning of the year</w:t>
            </w:r>
          </w:p>
        </w:tc>
        <w:tc>
          <w:tcPr>
            <w:tcW w:w="1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65,068</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40,428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00" w:type="dxa"/>
            <w:vAlign w:val="bottom"/>
            <w:vMerge w:val="restart"/>
          </w:tcPr>
          <w:p>
            <w:pPr>
              <w:ind w:left="3620"/>
              <w:spacing w:after="0"/>
              <w:rPr>
                <w:sz w:val="20"/>
                <w:szCs w:val="20"/>
                <w:color w:val="auto"/>
              </w:rPr>
            </w:pPr>
            <w:r>
              <w:rPr>
                <w:rFonts w:ascii="Arial" w:cs="Arial" w:eastAsia="Arial" w:hAnsi="Arial"/>
                <w:sz w:val="18"/>
                <w:szCs w:val="18"/>
                <w:color w:val="auto"/>
              </w:rPr>
              <w:t>F-45</w:t>
            </w:r>
          </w:p>
        </w:tc>
        <w:tc>
          <w:tcPr>
            <w:tcW w:w="1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Performance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about BioNTech’s performance obligations is summarized below: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BioNTech accounts for its promises to grant licenses as performance obligations satisfied over time as the customers simultaneously receive and consume the benefit of BioNTech’s performance of providing access to its intellectual property as the performance occurs. BioNTech recognizes revenue over time by measuring the progress toward complete satisfaction of that performance obligation according to the method that demonstrates BioNTech’s performance towards complete satisfaction. In contracts in which the costs vary based on the stage of research, an input-based measure considering cost incurred depicts most reliably the progress of the related research activities. In other contracts, revenue recognition on a straight-line basis most reliably depicts BioNTech’s performance toward complete satisfaction.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deferred revenue allocated to the remaining performance obligations (unsatisfied or partially unsatisfied) as at year-end are as follows: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39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Within one year</w:t>
            </w:r>
          </w:p>
        </w:tc>
        <w:tc>
          <w:tcPr>
            <w:tcW w:w="2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64,522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76,582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More than one year</w:t>
            </w:r>
          </w:p>
        </w:tc>
        <w:tc>
          <w:tcPr>
            <w:tcW w:w="2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205,647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214,026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Sum</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270,169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290,608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deferred revenue allocated to the remaining performance obligations does not contain deferred revenues of performance obligations which are part of contracts that have an original expected duration of one year or less or of performance obligations for which the consideration from the customer corresponds directly to the value to the customer of BioNTech’s performance to date.</w:t>
      </w:r>
    </w:p>
    <w:p>
      <w:pPr>
        <w:spacing w:after="0" w:line="326" w:lineRule="exact"/>
        <w:rPr>
          <w:sz w:val="20"/>
          <w:szCs w:val="20"/>
          <w:color w:val="auto"/>
        </w:rPr>
      </w:pPr>
    </w:p>
    <w:p>
      <w:pPr>
        <w:ind w:left="200" w:right="8660" w:firstLine="4"/>
        <w:spacing w:after="0" w:line="425" w:lineRule="auto"/>
        <w:tabs>
          <w:tab w:leader="none" w:pos="97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Group information Information about subsidiaries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consolidated financial statements of the Group include the following subsidiaries: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Country of</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w w:val="99"/>
              </w:rPr>
              <w:t>% equity interest</w:t>
            </w:r>
          </w:p>
        </w:tc>
        <w:tc>
          <w:tcPr>
            <w:tcW w:w="0" w:type="dxa"/>
            <w:vAlign w:val="bottom"/>
          </w:tcPr>
          <w:p>
            <w:pPr>
              <w:spacing w:after="0"/>
              <w:rPr>
                <w:sz w:val="1"/>
                <w:szCs w:val="1"/>
                <w:color w:val="auto"/>
              </w:rPr>
            </w:pPr>
          </w:p>
        </w:tc>
      </w:tr>
      <w:tr>
        <w:trPr>
          <w:trHeight w:val="11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Headquarter</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ind w:left="280"/>
              <w:spacing w:after="0" w:line="119" w:lineRule="exact"/>
              <w:rPr>
                <w:sz w:val="20"/>
                <w:szCs w:val="20"/>
                <w:color w:val="auto"/>
              </w:rPr>
            </w:pPr>
            <w:r>
              <w:rPr>
                <w:rFonts w:ascii="Arial" w:cs="Arial" w:eastAsia="Arial" w:hAnsi="Arial"/>
                <w:sz w:val="13"/>
                <w:szCs w:val="13"/>
                <w:b w:val="1"/>
                <w:bCs w:val="1"/>
                <w:color w:val="auto"/>
              </w:rPr>
              <w:t>As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incorporation</w:t>
            </w: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January, 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BioNTech RNA Pharmaceuticals GmbH</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Mainz</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600"/>
              <w:spacing w:after="0" w:line="203"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Protein Therapeutics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Diagnostics GmbH</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Small Molecules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Business Services GmbH</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Austria Beteiligungen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Austria</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Wien</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BioNTech Innovative Manufacturing Services GmbH (Frühere Eufets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GmbH)</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Idar-Oberstein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JPT Peptide Technologies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Berlin</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TheraCode JPT Inc.</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United States</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Acton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Cell &amp; Gene Therapies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Mainz</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94.50%</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94.50%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Apta IT GmbH</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Munich</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49.99%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BioNTech Real Estate Verwaltungs GmbH</w:t>
            </w: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tcPr>
          <w:p>
            <w:pPr>
              <w:ind w:left="220"/>
              <w:spacing w:after="0"/>
              <w:rPr>
                <w:sz w:val="20"/>
                <w:szCs w:val="20"/>
                <w:color w:val="auto"/>
              </w:rPr>
            </w:pPr>
            <w:r>
              <w:rPr>
                <w:rFonts w:ascii="Arial" w:cs="Arial" w:eastAsia="Arial" w:hAnsi="Arial"/>
                <w:sz w:val="18"/>
                <w:szCs w:val="18"/>
                <w:color w:val="auto"/>
              </w:rPr>
              <w:t>Holzkirchen</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BioNTech Real Estate GmbH &amp; Co. KG</w:t>
            </w:r>
          </w:p>
        </w:tc>
        <w:tc>
          <w:tcPr>
            <w:tcW w:w="1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Holzkirchen</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BioNTech Real Estate Verwaltungs GmbH and BioNTech Real Estate GmbH &amp; Co. KG were established during 2018.</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Parent company</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AT Impf GmbH, Munich, owns 54.16% (December 31, 2017 and January 1, 2017: 62.77%) of the ordinary shares in BioNTech and is the parent company of the Group.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Entity with significant influence over the Group</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Medine GmbH, Mainz, owns 21.57% (December 31, 2017: 25%; January 1, 2017: 25.99%) of the ordinary shares in BioNTech and has significant influence over the Group.</w:t>
      </w:r>
    </w:p>
    <w:p>
      <w:pPr>
        <w:spacing w:after="0" w:line="315" w:lineRule="exact"/>
        <w:rPr>
          <w:sz w:val="20"/>
          <w:szCs w:val="20"/>
          <w:color w:val="auto"/>
        </w:rPr>
      </w:pPr>
    </w:p>
    <w:p>
      <w:pPr>
        <w:ind w:left="980" w:hanging="776"/>
        <w:spacing w:after="0"/>
        <w:tabs>
          <w:tab w:leader="none" w:pos="98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Income and expenses</w:t>
      </w:r>
    </w:p>
    <w:p>
      <w:pPr>
        <w:spacing w:after="0" w:line="131" w:lineRule="exact"/>
        <w:rPr>
          <w:sz w:val="20"/>
          <w:szCs w:val="20"/>
          <w:color w:val="auto"/>
        </w:rPr>
      </w:pPr>
    </w:p>
    <w:p>
      <w:pPr>
        <w:jc w:val="right"/>
        <w:ind w:right="9220"/>
        <w:spacing w:after="0"/>
        <w:tabs>
          <w:tab w:leader="none" w:pos="102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Costs of sales</w:t>
      </w:r>
    </w:p>
    <w:p>
      <w:pPr>
        <w:spacing w:after="0" w:line="27" w:lineRule="exact"/>
        <w:rPr>
          <w:sz w:val="20"/>
          <w:szCs w:val="20"/>
          <w:color w:val="auto"/>
        </w:rPr>
      </w:pPr>
    </w:p>
    <w:p>
      <w:pPr>
        <w:jc w:val="right"/>
        <w:ind w:right="9220"/>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€ 6,726</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€6,105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Laboratory supplies</w:t>
            </w:r>
          </w:p>
        </w:tc>
        <w:tc>
          <w:tcPr>
            <w:tcW w:w="2820" w:type="dxa"/>
            <w:vAlign w:val="bottom"/>
            <w:gridSpan w:val="4"/>
          </w:tcPr>
          <w:p>
            <w:pPr>
              <w:jc w:val="right"/>
              <w:spacing w:after="0"/>
              <w:rPr>
                <w:sz w:val="20"/>
                <w:szCs w:val="20"/>
                <w:color w:val="auto"/>
              </w:rPr>
            </w:pPr>
            <w:r>
              <w:rPr>
                <w:rFonts w:ascii="Arial" w:cs="Arial" w:eastAsia="Arial" w:hAnsi="Arial"/>
                <w:sz w:val="18"/>
                <w:szCs w:val="18"/>
                <w:color w:val="auto"/>
              </w:rPr>
              <w:t>1,368</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2,849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Purchased Services</w:t>
            </w:r>
          </w:p>
        </w:tc>
        <w:tc>
          <w:tcPr>
            <w:tcW w:w="2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w:t>
            </w:r>
          </w:p>
        </w:tc>
        <w:tc>
          <w:tcPr>
            <w:tcW w:w="2820" w:type="dxa"/>
            <w:vAlign w:val="bottom"/>
            <w:gridSpan w:val="4"/>
          </w:tcPr>
          <w:p>
            <w:pPr>
              <w:jc w:val="right"/>
              <w:spacing w:after="0"/>
              <w:rPr>
                <w:sz w:val="20"/>
                <w:szCs w:val="20"/>
                <w:color w:val="auto"/>
              </w:rPr>
            </w:pPr>
            <w:r>
              <w:rPr>
                <w:rFonts w:ascii="Arial" w:cs="Arial" w:eastAsia="Arial" w:hAnsi="Arial"/>
                <w:sz w:val="18"/>
                <w:szCs w:val="18"/>
                <w:color w:val="auto"/>
              </w:rPr>
              <w:t>1,367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5360" w:type="dxa"/>
            <w:vAlign w:val="bottom"/>
            <w:gridSpan w:val="2"/>
          </w:tcPr>
          <w:p>
            <w:pPr>
              <w:ind w:left="820"/>
              <w:spacing w:after="0"/>
              <w:rPr>
                <w:sz w:val="20"/>
                <w:szCs w:val="20"/>
                <w:color w:val="auto"/>
              </w:rPr>
            </w:pPr>
            <w:r>
              <w:rPr>
                <w:rFonts w:ascii="Arial" w:cs="Arial" w:eastAsia="Arial" w:hAnsi="Arial"/>
                <w:sz w:val="18"/>
                <w:szCs w:val="18"/>
                <w:b w:val="1"/>
                <w:bCs w:val="1"/>
                <w:color w:val="auto"/>
              </w:rPr>
              <w:t>Total</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13,690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9,318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79"/>
              </w:rPr>
              <w:t>6.2</w:t>
            </w:r>
          </w:p>
        </w:tc>
        <w:tc>
          <w:tcPr>
            <w:tcW w:w="53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Research and development expenses</w:t>
            </w: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500" w:type="dxa"/>
            <w:vAlign w:val="bottom"/>
            <w:vMerge w:val="continue"/>
          </w:tcPr>
          <w:p>
            <w:pPr>
              <w:spacing w:after="0"/>
              <w:rPr>
                <w:sz w:val="24"/>
                <w:szCs w:val="24"/>
                <w:color w:val="auto"/>
              </w:rPr>
            </w:pPr>
          </w:p>
        </w:tc>
        <w:tc>
          <w:tcPr>
            <w:tcW w:w="536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36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4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0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€ 45,668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€ 31,970</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Purchased services</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42,079</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22,686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Lab supplies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9,859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 and lease related cost</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€ 143,040</w:t>
            </w:r>
          </w:p>
        </w:tc>
        <w:tc>
          <w:tcPr>
            <w:tcW w:w="10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85,496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expenses were mainly comprised of clinical studies (2018: k€3,500; 2017: k€887), travel costs (2018: k€1,281; 2017: k€776) and incidental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rental costs (2018: k€1,523; 2017: k€730).</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240" w:top="459" w:right="4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6.3</w:t>
            </w:r>
          </w:p>
        </w:tc>
        <w:tc>
          <w:tcPr>
            <w:tcW w:w="5520" w:type="dxa"/>
            <w:vAlign w:val="bottom"/>
            <w:gridSpan w:val="2"/>
          </w:tcPr>
          <w:p>
            <w:pPr>
              <w:ind w:left="280"/>
              <w:spacing w:after="0"/>
              <w:rPr>
                <w:sz w:val="20"/>
                <w:szCs w:val="20"/>
                <w:color w:val="auto"/>
              </w:rPr>
            </w:pPr>
            <w:r>
              <w:rPr>
                <w:rFonts w:ascii="Arial" w:cs="Arial" w:eastAsia="Arial" w:hAnsi="Arial"/>
                <w:sz w:val="18"/>
                <w:szCs w:val="18"/>
                <w:b w:val="1"/>
                <w:bCs w:val="1"/>
                <w:color w:val="auto"/>
              </w:rPr>
              <w:t>Sales and marketing expenses</w:t>
            </w:r>
          </w:p>
        </w:tc>
        <w:tc>
          <w:tcPr>
            <w:tcW w:w="2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552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9"/>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r>
      <w:tr>
        <w:trPr>
          <w:trHeight w:val="171"/>
        </w:trPr>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€1,728</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Purchased services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2,771</w:t>
            </w:r>
          </w:p>
        </w:tc>
        <w:tc>
          <w:tcPr>
            <w:tcW w:w="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Travel costs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4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3,041</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6,603</w:t>
            </w: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In 2018, the other costs were mainly comprised of transport costs (k€119) and depreciation (k€21). In 2017, the other costs were mainly comprised of distribution costs of the entity TheraCode JPT Inc. (k€441) and transport costs (k€146).</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6.4</w:t>
            </w:r>
          </w:p>
        </w:tc>
        <w:tc>
          <w:tcPr>
            <w:tcW w:w="5400" w:type="dxa"/>
            <w:vAlign w:val="bottom"/>
            <w:gridSpan w:val="2"/>
          </w:tcPr>
          <w:p>
            <w:pPr>
              <w:ind w:left="280"/>
              <w:spacing w:after="0"/>
              <w:rPr>
                <w:sz w:val="20"/>
                <w:szCs w:val="20"/>
                <w:color w:val="auto"/>
              </w:rPr>
            </w:pPr>
            <w:r>
              <w:rPr>
                <w:rFonts w:ascii="Arial" w:cs="Arial" w:eastAsia="Arial" w:hAnsi="Arial"/>
                <w:sz w:val="18"/>
                <w:szCs w:val="18"/>
                <w:b w:val="1"/>
                <w:bCs w:val="1"/>
                <w:color w:val="auto"/>
              </w:rPr>
              <w:t>General and administrative expenses</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540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24"/>
                <w:szCs w:val="24"/>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Wages and social security expenses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6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Purchased services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3,544</w:t>
            </w:r>
          </w:p>
        </w:tc>
        <w:tc>
          <w:tcPr>
            <w:tcW w:w="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IT and office equipment</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6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Depreciation</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Office costs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60" w:type="dxa"/>
            <w:vAlign w:val="bottom"/>
            <w:shd w:val="clear" w:color="auto" w:fill="CCEEFF"/>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6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26,334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23,520</w:t>
            </w:r>
          </w:p>
        </w:tc>
        <w:tc>
          <w:tcPr>
            <w:tcW w:w="60" w:type="dxa"/>
            <w:vAlign w:val="bottom"/>
            <w:shd w:val="clear" w:color="auto" w:fill="CCEEFF"/>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2018, the other expenses were mainly comprised of travel costs (k€1,043), job advertisement expenses (k€861) and contract staffing (k€781). In the prior year, the other expenses were mainly comprised of job advertisement expenses (k€719), travel costs (k€247), training expenses (k€210) and incidental rental costs (k€182).</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50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6.5</w:t>
            </w:r>
          </w:p>
        </w:tc>
        <w:tc>
          <w:tcPr>
            <w:tcW w:w="5360" w:type="dxa"/>
            <w:vAlign w:val="bottom"/>
            <w:gridSpan w:val="2"/>
          </w:tcPr>
          <w:p>
            <w:pPr>
              <w:ind w:left="280"/>
              <w:spacing w:after="0"/>
              <w:rPr>
                <w:sz w:val="20"/>
                <w:szCs w:val="20"/>
                <w:color w:val="auto"/>
              </w:rPr>
            </w:pPr>
            <w:r>
              <w:rPr>
                <w:rFonts w:ascii="Arial" w:cs="Arial" w:eastAsia="Arial" w:hAnsi="Arial"/>
                <w:sz w:val="18"/>
                <w:szCs w:val="18"/>
                <w:b w:val="1"/>
                <w:bCs w:val="1"/>
                <w:color w:val="auto"/>
              </w:rPr>
              <w:t>Other operating income</w:t>
            </w:r>
          </w:p>
        </w:tc>
        <w:tc>
          <w:tcPr>
            <w:tcW w:w="2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36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9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grants</w:t>
            </w:r>
          </w:p>
        </w:tc>
        <w:tc>
          <w:tcPr>
            <w:tcW w:w="2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€4,228</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€2,266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5,396</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2,349</w:t>
            </w:r>
          </w:p>
        </w:tc>
        <w:tc>
          <w:tcPr>
            <w:tcW w:w="0" w:type="dxa"/>
            <w:vAlign w:val="bottom"/>
          </w:tcPr>
          <w:p>
            <w:pPr>
              <w:spacing w:after="0"/>
              <w:rPr>
                <w:sz w:val="1"/>
                <w:szCs w:val="1"/>
                <w:color w:val="auto"/>
              </w:rPr>
            </w:pPr>
          </w:p>
        </w:tc>
      </w:tr>
      <w:tr>
        <w:trPr>
          <w:trHeight w:val="20"/>
        </w:trPr>
        <w:tc>
          <w:tcPr>
            <w:tcW w:w="5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79"/>
              </w:rPr>
              <w:t>6.6</w:t>
            </w:r>
          </w:p>
        </w:tc>
        <w:tc>
          <w:tcPr>
            <w:tcW w:w="536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Other operating expenses</w:t>
            </w:r>
          </w:p>
        </w:tc>
        <w:tc>
          <w:tcPr>
            <w:tcW w:w="2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500" w:type="dxa"/>
            <w:vAlign w:val="bottom"/>
            <w:vMerge w:val="continue"/>
          </w:tcPr>
          <w:p>
            <w:pPr>
              <w:spacing w:after="0"/>
              <w:rPr>
                <w:sz w:val="24"/>
                <w:szCs w:val="24"/>
                <w:color w:val="auto"/>
              </w:rPr>
            </w:pPr>
          </w:p>
        </w:tc>
        <w:tc>
          <w:tcPr>
            <w:tcW w:w="536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5360" w:type="dxa"/>
            <w:vAlign w:val="bottom"/>
            <w:gridSpan w:val="2"/>
          </w:tcPr>
          <w:p>
            <w:pPr>
              <w:ind w:left="280"/>
              <w:spacing w:after="0"/>
              <w:rPr>
                <w:sz w:val="20"/>
                <w:szCs w:val="20"/>
                <w:color w:val="auto"/>
              </w:rPr>
            </w:pPr>
            <w:r>
              <w:rPr>
                <w:rFonts w:ascii="Arial" w:cs="Arial" w:eastAsia="Arial" w:hAnsi="Arial"/>
                <w:sz w:val="18"/>
                <w:szCs w:val="18"/>
                <w:color w:val="auto"/>
              </w:rPr>
              <w:t>(in thousands)</w:t>
            </w:r>
          </w:p>
        </w:tc>
        <w:tc>
          <w:tcPr>
            <w:tcW w:w="2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3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intangible assets</w:t>
            </w:r>
          </w:p>
        </w:tc>
        <w:tc>
          <w:tcPr>
            <w:tcW w:w="39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€281</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w:t>
            </w:r>
          </w:p>
        </w:tc>
        <w:tc>
          <w:tcPr>
            <w:tcW w:w="3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720</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operating expenses</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720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288</w:t>
            </w: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40" w:type="dxa"/>
            <w:vAlign w:val="bottom"/>
            <w:gridSpan w:val="2"/>
          </w:tcPr>
          <w:p>
            <w:pPr>
              <w:jc w:val="right"/>
              <w:ind w:right="2785"/>
              <w:spacing w:after="0"/>
              <w:rPr>
                <w:sz w:val="20"/>
                <w:szCs w:val="20"/>
                <w:color w:val="auto"/>
              </w:rPr>
            </w:pPr>
            <w:r>
              <w:rPr>
                <w:rFonts w:ascii="Arial" w:cs="Arial" w:eastAsia="Arial" w:hAnsi="Arial"/>
                <w:sz w:val="18"/>
                <w:szCs w:val="18"/>
                <w:color w:val="auto"/>
              </w:rPr>
              <w:t>F-48</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2017, the impairment loss of k€281 represented the write-down of a software program as it was no longer usable.</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Arial" w:cs="Arial" w:eastAsia="Arial" w:hAnsi="Arial"/>
                <w:sz w:val="18"/>
                <w:szCs w:val="18"/>
                <w:b w:val="1"/>
                <w:bCs w:val="1"/>
                <w:color w:val="auto"/>
              </w:rPr>
              <w:t>6.7</w:t>
            </w:r>
          </w:p>
        </w:tc>
        <w:tc>
          <w:tcPr>
            <w:tcW w:w="7620" w:type="dxa"/>
            <w:vAlign w:val="bottom"/>
            <w:gridSpan w:val="2"/>
          </w:tcPr>
          <w:p>
            <w:pPr>
              <w:ind w:left="440"/>
              <w:spacing w:after="0"/>
              <w:rPr>
                <w:sz w:val="20"/>
                <w:szCs w:val="20"/>
                <w:color w:val="auto"/>
              </w:rPr>
            </w:pPr>
            <w:r>
              <w:rPr>
                <w:rFonts w:ascii="Arial" w:cs="Arial" w:eastAsia="Arial" w:hAnsi="Arial"/>
                <w:sz w:val="18"/>
                <w:szCs w:val="18"/>
                <w:b w:val="1"/>
                <w:bCs w:val="1"/>
                <w:color w:val="auto"/>
              </w:rPr>
              <w:t>Finance income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620" w:type="dxa"/>
            <w:vAlign w:val="bottom"/>
            <w:gridSpan w:val="2"/>
          </w:tcPr>
          <w:p>
            <w:pPr>
              <w:ind w:left="4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income</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Interest income on cash</w:t>
            </w:r>
          </w:p>
        </w:tc>
        <w:tc>
          <w:tcPr>
            <w:tcW w:w="200" w:type="dxa"/>
            <w:vAlign w:val="bottom"/>
          </w:tcPr>
          <w:p>
            <w:pPr>
              <w:spacing w:after="0"/>
              <w:rPr>
                <w:sz w:val="18"/>
                <w:szCs w:val="18"/>
                <w:color w:val="auto"/>
              </w:rPr>
            </w:pPr>
          </w:p>
        </w:tc>
        <w:tc>
          <w:tcPr>
            <w:tcW w:w="520" w:type="dxa"/>
            <w:vAlign w:val="bottom"/>
            <w:gridSpan w:val="4"/>
          </w:tcPr>
          <w:p>
            <w:pPr>
              <w:jc w:val="center"/>
              <w:spacing w:after="0"/>
              <w:rPr>
                <w:sz w:val="20"/>
                <w:szCs w:val="20"/>
                <w:color w:val="auto"/>
              </w:rPr>
            </w:pPr>
            <w:r>
              <w:rPr>
                <w:rFonts w:ascii="Arial" w:cs="Arial" w:eastAsia="Arial" w:hAnsi="Arial"/>
                <w:sz w:val="18"/>
                <w:szCs w:val="18"/>
                <w:color w:val="auto"/>
                <w:w w:val="90"/>
              </w:rPr>
              <w:t>€1,996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€2,133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gains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6,050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20" w:type="dxa"/>
            <w:vAlign w:val="bottom"/>
            <w:gridSpan w:val="2"/>
          </w:tcPr>
          <w:p>
            <w:pPr>
              <w:ind w:left="980"/>
              <w:spacing w:after="0"/>
              <w:rPr>
                <w:sz w:val="20"/>
                <w:szCs w:val="20"/>
                <w:color w:val="auto"/>
              </w:rPr>
            </w:pPr>
            <w:r>
              <w:rPr>
                <w:rFonts w:ascii="Arial" w:cs="Arial" w:eastAsia="Arial" w:hAnsi="Arial"/>
                <w:sz w:val="18"/>
                <w:szCs w:val="18"/>
                <w:b w:val="1"/>
                <w:bCs w:val="1"/>
                <w:color w:val="auto"/>
              </w:rPr>
              <w:t>Finance income</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8,046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2,133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20" w:type="dxa"/>
            <w:vAlign w:val="bottom"/>
            <w:gridSpan w:val="2"/>
            <w:vMerge w:val="restart"/>
          </w:tcPr>
          <w:p>
            <w:pPr>
              <w:ind w:left="100"/>
              <w:spacing w:after="0"/>
              <w:rPr>
                <w:sz w:val="20"/>
                <w:szCs w:val="20"/>
                <w:color w:val="auto"/>
              </w:rPr>
            </w:pPr>
            <w:r>
              <w:rPr>
                <w:rFonts w:ascii="Arial" w:cs="Arial" w:eastAsia="Arial" w:hAnsi="Arial"/>
                <w:sz w:val="18"/>
                <w:szCs w:val="18"/>
                <w:color w:val="auto"/>
              </w:rPr>
              <w:t>Finance income results from BioNTech’s interests on short-term deposits.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6"/>
        </w:trPr>
        <w:tc>
          <w:tcPr>
            <w:tcW w:w="340" w:type="dxa"/>
            <w:vAlign w:val="bottom"/>
          </w:tcPr>
          <w:p>
            <w:pPr>
              <w:spacing w:after="0"/>
              <w:rPr>
                <w:sz w:val="20"/>
                <w:szCs w:val="20"/>
                <w:color w:val="auto"/>
              </w:rPr>
            </w:pPr>
            <w:r>
              <w:rPr>
                <w:rFonts w:ascii="Arial" w:cs="Arial" w:eastAsia="Arial" w:hAnsi="Arial"/>
                <w:sz w:val="18"/>
                <w:szCs w:val="18"/>
                <w:b w:val="1"/>
                <w:bCs w:val="1"/>
                <w:color w:val="auto"/>
              </w:rPr>
              <w:t>6.8</w:t>
            </w:r>
          </w:p>
        </w:tc>
        <w:tc>
          <w:tcPr>
            <w:tcW w:w="7620" w:type="dxa"/>
            <w:vAlign w:val="bottom"/>
            <w:gridSpan w:val="2"/>
          </w:tcPr>
          <w:p>
            <w:pPr>
              <w:ind w:left="440"/>
              <w:spacing w:after="0"/>
              <w:rPr>
                <w:sz w:val="20"/>
                <w:szCs w:val="20"/>
                <w:color w:val="auto"/>
              </w:rPr>
            </w:pPr>
            <w:r>
              <w:rPr>
                <w:rFonts w:ascii="Arial" w:cs="Arial" w:eastAsia="Arial" w:hAnsi="Arial"/>
                <w:sz w:val="18"/>
                <w:szCs w:val="18"/>
                <w:b w:val="1"/>
                <w:bCs w:val="1"/>
                <w:color w:val="auto"/>
              </w:rPr>
              <w:t>Finance expense</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620" w:type="dxa"/>
            <w:vAlign w:val="bottom"/>
            <w:gridSpan w:val="2"/>
          </w:tcPr>
          <w:p>
            <w:pPr>
              <w:ind w:left="4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Finance expense</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Financial instruments measured at amortised cost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ind w:left="14"/>
              <w:spacing w:after="0"/>
              <w:rPr>
                <w:sz w:val="20"/>
                <w:szCs w:val="20"/>
                <w:color w:val="auto"/>
              </w:rPr>
            </w:pPr>
            <w:r>
              <w:rPr>
                <w:rFonts w:ascii="Arial" w:cs="Arial" w:eastAsia="Arial" w:hAnsi="Arial"/>
                <w:sz w:val="18"/>
                <w:szCs w:val="18"/>
                <w:color w:val="auto"/>
                <w:w w:val="89"/>
              </w:rPr>
              <w:t>48</w:t>
            </w:r>
          </w:p>
        </w:tc>
        <w:tc>
          <w:tcPr>
            <w:tcW w:w="160" w:type="dxa"/>
            <w:vAlign w:val="bottom"/>
          </w:tcPr>
          <w:p>
            <w:pPr>
              <w:spacing w:after="0"/>
              <w:rPr>
                <w:sz w:val="18"/>
                <w:szCs w:val="18"/>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losses (net)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25.955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620" w:type="dxa"/>
            <w:vAlign w:val="bottom"/>
            <w:gridSpan w:val="2"/>
          </w:tcPr>
          <w:p>
            <w:pPr>
              <w:ind w:left="980"/>
              <w:spacing w:after="0"/>
              <w:rPr>
                <w:sz w:val="20"/>
                <w:szCs w:val="20"/>
                <w:color w:val="auto"/>
              </w:rPr>
            </w:pPr>
            <w:r>
              <w:rPr>
                <w:rFonts w:ascii="Arial" w:cs="Arial" w:eastAsia="Arial" w:hAnsi="Arial"/>
                <w:sz w:val="18"/>
                <w:szCs w:val="18"/>
                <w:b w:val="1"/>
                <w:bCs w:val="1"/>
                <w:color w:val="auto"/>
              </w:rPr>
              <w:t>Finance expense</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center"/>
              <w:ind w:left="14"/>
              <w:spacing w:after="0"/>
              <w:rPr>
                <w:sz w:val="20"/>
                <w:szCs w:val="20"/>
                <w:color w:val="auto"/>
              </w:rPr>
            </w:pPr>
            <w:r>
              <w:rPr>
                <w:rFonts w:ascii="Arial" w:cs="Arial" w:eastAsia="Arial" w:hAnsi="Arial"/>
                <w:sz w:val="18"/>
                <w:szCs w:val="18"/>
                <w:b w:val="1"/>
                <w:bCs w:val="1"/>
                <w:color w:val="auto"/>
                <w:w w:val="89"/>
              </w:rPr>
              <w:t>48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26.007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20" w:type="dxa"/>
            <w:vAlign w:val="bottom"/>
            <w:gridSpan w:val="2"/>
            <w:vMerge w:val="restart"/>
          </w:tcPr>
          <w:p>
            <w:pPr>
              <w:ind w:left="100"/>
              <w:spacing w:after="0"/>
              <w:rPr>
                <w:sz w:val="20"/>
                <w:szCs w:val="20"/>
                <w:color w:val="auto"/>
              </w:rPr>
            </w:pPr>
            <w:r>
              <w:rPr>
                <w:rFonts w:ascii="Arial" w:cs="Arial" w:eastAsia="Arial" w:hAnsi="Arial"/>
                <w:sz w:val="18"/>
                <w:szCs w:val="18"/>
                <w:color w:val="auto"/>
              </w:rPr>
              <w:t>Foreign exchange losses are a result from the Group’s unhedged USD cash accounts.</w:t>
            </w: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6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 w:type="dxa"/>
            <w:vAlign w:val="bottom"/>
          </w:tcPr>
          <w:p>
            <w:pPr>
              <w:spacing w:after="0"/>
              <w:rPr>
                <w:sz w:val="20"/>
                <w:szCs w:val="20"/>
                <w:color w:val="auto"/>
              </w:rPr>
            </w:pPr>
            <w:r>
              <w:rPr>
                <w:rFonts w:ascii="Arial" w:cs="Arial" w:eastAsia="Arial" w:hAnsi="Arial"/>
                <w:sz w:val="18"/>
                <w:szCs w:val="18"/>
                <w:b w:val="1"/>
                <w:bCs w:val="1"/>
                <w:color w:val="auto"/>
              </w:rPr>
              <w:t>7</w:t>
            </w:r>
          </w:p>
        </w:tc>
        <w:tc>
          <w:tcPr>
            <w:tcW w:w="76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Income tax</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7620" w:type="dxa"/>
            <w:vAlign w:val="bottom"/>
            <w:gridSpan w:val="2"/>
          </w:tcPr>
          <w:p>
            <w:pPr>
              <w:ind w:left="100"/>
              <w:spacing w:after="0"/>
              <w:rPr>
                <w:sz w:val="20"/>
                <w:szCs w:val="20"/>
                <w:color w:val="auto"/>
              </w:rPr>
            </w:pPr>
            <w:r>
              <w:rPr>
                <w:rFonts w:ascii="Arial" w:cs="Arial" w:eastAsia="Arial" w:hAnsi="Arial"/>
                <w:sz w:val="18"/>
                <w:szCs w:val="18"/>
                <w:color w:val="auto"/>
                <w:w w:val="91"/>
              </w:rPr>
              <w:t>Tax expense for the years ended December 31, 2018 and 2017 are comprised of current income taxes.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Reconciliation of tax expense to the estimated tax rate for the years ended 2017 and 2018 is as follows (in thousands):</w:t>
      </w:r>
    </w:p>
    <w:p>
      <w:pPr>
        <w:spacing w:after="0" w:line="244"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Year ended</w:t>
      </w:r>
    </w:p>
    <w:p>
      <w:pPr>
        <w:jc w:val="center"/>
        <w:ind w:left="91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(47,662</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(85,950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4"/>
        </w:trPr>
        <w:tc>
          <w:tcPr>
            <w:tcW w:w="7960" w:type="dxa"/>
            <w:vAlign w:val="bottom"/>
            <w:gridSpan w:val="2"/>
          </w:tcPr>
          <w:p>
            <w:pPr>
              <w:spacing w:after="0"/>
              <w:rPr>
                <w:sz w:val="20"/>
                <w:szCs w:val="20"/>
                <w:color w:val="auto"/>
              </w:rPr>
            </w:pPr>
            <w:r>
              <w:rPr>
                <w:rFonts w:ascii="Arial" w:cs="Arial" w:eastAsia="Arial" w:hAnsi="Arial"/>
                <w:sz w:val="18"/>
                <w:szCs w:val="18"/>
                <w:color w:val="auto"/>
              </w:rPr>
              <w:t>Expected tax benefit (based on BioNTech’s statutory tax rate of 30.99%; prior year: 30.86%)</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26,517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9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Government grants exempted from taxes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 deductible tax-expenses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Utilization of tax losses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Non-recognition of deferred taxes on tax losses and temporary differences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(13,634)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Other effects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5320"/>
              <w:spacing w:after="0"/>
              <w:rPr>
                <w:sz w:val="20"/>
                <w:szCs w:val="20"/>
                <w:color w:val="auto"/>
              </w:rPr>
            </w:pPr>
            <w:r>
              <w:rPr>
                <w:rFonts w:ascii="Arial" w:cs="Arial" w:eastAsia="Arial" w:hAnsi="Arial"/>
                <w:sz w:val="18"/>
                <w:szCs w:val="18"/>
                <w:color w:val="auto"/>
              </w:rPr>
              <w:t>F-49</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Deferred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taxes relate to the following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At January 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6"/>
              </w:rPr>
              <w:t>Recognized in</w:t>
            </w:r>
          </w:p>
        </w:tc>
        <w:tc>
          <w:tcPr>
            <w:tcW w:w="20" w:type="dxa"/>
            <w:vAlign w:val="bottom"/>
          </w:tcPr>
          <w:p>
            <w:pPr>
              <w:spacing w:after="0"/>
              <w:rPr>
                <w:sz w:val="14"/>
                <w:szCs w:val="14"/>
                <w:color w:val="auto"/>
              </w:rPr>
            </w:pPr>
          </w:p>
        </w:tc>
        <w:tc>
          <w:tcPr>
            <w:tcW w:w="1660" w:type="dxa"/>
            <w:vAlign w:val="bottom"/>
            <w:gridSpan w:val="4"/>
            <w:vMerge w:val="restart"/>
          </w:tcPr>
          <w:p>
            <w:pPr>
              <w:jc w:val="center"/>
              <w:ind w:left="321"/>
              <w:spacing w:after="0"/>
              <w:rPr>
                <w:sz w:val="20"/>
                <w:szCs w:val="20"/>
                <w:color w:val="auto"/>
              </w:rPr>
            </w:pPr>
            <w:r>
              <w:rPr>
                <w:rFonts w:ascii="Arial" w:cs="Arial" w:eastAsia="Arial" w:hAnsi="Arial"/>
                <w:sz w:val="14"/>
                <w:szCs w:val="14"/>
                <w:b w:val="1"/>
                <w:bCs w:val="1"/>
                <w:color w:val="auto"/>
                <w:w w:val="92"/>
              </w:rPr>
              <w:t>At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gridSpan w:val="8"/>
            <w:vMerge w:val="continue"/>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P&amp;L</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16,631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11,810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Accruals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(before valuation)</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16,676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12,275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5"/>
            <w:vMerge w:val="restart"/>
          </w:tcPr>
          <w:p>
            <w:pPr>
              <w:spacing w:after="0"/>
              <w:rPr>
                <w:sz w:val="20"/>
                <w:szCs w:val="20"/>
                <w:color w:val="auto"/>
              </w:rPr>
            </w:pPr>
            <w:r>
              <w:rPr>
                <w:rFonts w:ascii="Arial" w:cs="Arial" w:eastAsia="Arial" w:hAnsi="Arial"/>
                <w:sz w:val="18"/>
                <w:szCs w:val="18"/>
                <w:color w:val="auto"/>
              </w:rPr>
              <w:t>Valuation Adjustment</w:t>
            </w:r>
          </w:p>
        </w:tc>
        <w:tc>
          <w:tcPr>
            <w:tcW w:w="1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5"/>
            <w:vMerge w:val="continue"/>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(16,676</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(12,275</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Deferred Tax Assets Net (after valuation)</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2017</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380" w:type="dxa"/>
            <w:vAlign w:val="bottom"/>
            <w:gridSpan w:val="9"/>
            <w:vMerge w:val="restart"/>
          </w:tcPr>
          <w:p>
            <w:pPr>
              <w:ind w:left="1160"/>
              <w:spacing w:after="0"/>
              <w:rPr>
                <w:sz w:val="20"/>
                <w:szCs w:val="20"/>
                <w:color w:val="auto"/>
              </w:rPr>
            </w:pPr>
            <w:r>
              <w:rPr>
                <w:rFonts w:ascii="Arial" w:cs="Arial" w:eastAsia="Arial" w:hAnsi="Arial"/>
                <w:sz w:val="14"/>
                <w:szCs w:val="14"/>
                <w:b w:val="1"/>
                <w:bCs w:val="1"/>
                <w:color w:val="auto"/>
              </w:rPr>
              <w:t>At January 1,</w:t>
            </w:r>
          </w:p>
        </w:tc>
        <w:tc>
          <w:tcPr>
            <w:tcW w:w="160" w:type="dxa"/>
            <w:vAlign w:val="bottom"/>
          </w:tcPr>
          <w:p>
            <w:pPr>
              <w:spacing w:after="0"/>
              <w:rPr>
                <w:sz w:val="24"/>
                <w:szCs w:val="24"/>
                <w:color w:val="auto"/>
              </w:rPr>
            </w:pPr>
          </w:p>
        </w:tc>
        <w:tc>
          <w:tcPr>
            <w:tcW w:w="1180" w:type="dxa"/>
            <w:vAlign w:val="bottom"/>
            <w:gridSpan w:val="7"/>
            <w:vMerge w:val="restart"/>
          </w:tcPr>
          <w:p>
            <w:pPr>
              <w:ind w:left="160"/>
              <w:spacing w:after="0"/>
              <w:rPr>
                <w:sz w:val="20"/>
                <w:szCs w:val="20"/>
                <w:color w:val="auto"/>
              </w:rPr>
            </w:pPr>
            <w:r>
              <w:rPr>
                <w:rFonts w:ascii="Arial" w:cs="Arial" w:eastAsia="Arial" w:hAnsi="Arial"/>
                <w:sz w:val="14"/>
                <w:szCs w:val="14"/>
                <w:b w:val="1"/>
                <w:bCs w:val="1"/>
                <w:color w:val="auto"/>
              </w:rPr>
              <w:t>Recognized in</w:t>
            </w:r>
          </w:p>
        </w:tc>
        <w:tc>
          <w:tcPr>
            <w:tcW w:w="20" w:type="dxa"/>
            <w:vAlign w:val="bottom"/>
          </w:tcPr>
          <w:p>
            <w:pPr>
              <w:spacing w:after="0"/>
              <w:rPr>
                <w:sz w:val="24"/>
                <w:szCs w:val="24"/>
                <w:color w:val="auto"/>
              </w:rPr>
            </w:pPr>
          </w:p>
        </w:tc>
        <w:tc>
          <w:tcPr>
            <w:tcW w:w="1660" w:type="dxa"/>
            <w:vAlign w:val="bottom"/>
            <w:gridSpan w:val="4"/>
            <w:vMerge w:val="restart"/>
          </w:tcPr>
          <w:p>
            <w:pPr>
              <w:jc w:val="center"/>
              <w:ind w:left="321"/>
              <w:spacing w:after="0"/>
              <w:rPr>
                <w:sz w:val="20"/>
                <w:szCs w:val="20"/>
                <w:color w:val="auto"/>
              </w:rPr>
            </w:pPr>
            <w:r>
              <w:rPr>
                <w:rFonts w:ascii="Arial" w:cs="Arial" w:eastAsia="Arial" w:hAnsi="Arial"/>
                <w:sz w:val="14"/>
                <w:szCs w:val="14"/>
                <w:b w:val="1"/>
                <w:bCs w:val="1"/>
                <w:color w:val="auto"/>
                <w:w w:val="92"/>
              </w:rPr>
              <w:t>At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38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214"/>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P&amp;L</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center"/>
              <w:ind w:right="17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Fixed Assets</w:t>
            </w:r>
          </w:p>
        </w:tc>
        <w:tc>
          <w:tcPr>
            <w:tcW w:w="1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Revenues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accounts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(2,467)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Liabilities (currency losses)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5"/>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Accruals</w:t>
            </w:r>
          </w:p>
        </w:tc>
        <w:tc>
          <w:tcPr>
            <w:tcW w:w="1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5"/>
          </w:tcPr>
          <w:p>
            <w:pPr>
              <w:spacing w:after="0"/>
              <w:rPr>
                <w:sz w:val="20"/>
                <w:szCs w:val="20"/>
                <w:color w:val="auto"/>
              </w:rPr>
            </w:pPr>
            <w:r>
              <w:rPr>
                <w:rFonts w:ascii="Arial" w:cs="Arial" w:eastAsia="Arial" w:hAnsi="Arial"/>
                <w:sz w:val="18"/>
                <w:szCs w:val="18"/>
                <w:b w:val="1"/>
                <w:bCs w:val="1"/>
                <w:color w:val="auto"/>
              </w:rPr>
              <w:t>Deferred Tax Assets (before valuation)</w:t>
            </w:r>
          </w:p>
        </w:tc>
        <w:tc>
          <w:tcPr>
            <w:tcW w:w="1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8,925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Valuation Adjustment</w:t>
            </w:r>
          </w:p>
        </w:tc>
        <w:tc>
          <w:tcPr>
            <w:tcW w:w="1420" w:type="dxa"/>
            <w:vAlign w:val="bottom"/>
            <w:gridSpan w:val="4"/>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(16,676)</w:t>
            </w:r>
          </w:p>
        </w:tc>
        <w:tc>
          <w:tcPr>
            <w:tcW w:w="0" w:type="dxa"/>
            <w:vAlign w:val="bottom"/>
          </w:tcPr>
          <w:p>
            <w:pPr>
              <w:spacing w:after="0"/>
              <w:rPr>
                <w:sz w:val="1"/>
                <w:szCs w:val="1"/>
                <w:color w:val="auto"/>
              </w:rPr>
            </w:pPr>
          </w:p>
        </w:tc>
      </w:tr>
      <w:tr>
        <w:trPr>
          <w:trHeight w:val="20"/>
        </w:trPr>
        <w:tc>
          <w:tcPr>
            <w:tcW w:w="56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Deferred Tax Assets (after valuation)</w:t>
            </w: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5"/>
            <w:vMerge w:val="continue"/>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40" w:type="dxa"/>
            <w:vAlign w:val="bottom"/>
            <w:gridSpan w:val="5"/>
          </w:tcPr>
          <w:p>
            <w:pPr>
              <w:spacing w:after="0"/>
              <w:rPr>
                <w:sz w:val="20"/>
                <w:szCs w:val="20"/>
                <w:color w:val="auto"/>
              </w:rPr>
            </w:pPr>
            <w:r>
              <w:rPr>
                <w:rFonts w:ascii="Arial" w:cs="Arial" w:eastAsia="Arial" w:hAnsi="Arial"/>
                <w:sz w:val="18"/>
                <w:szCs w:val="18"/>
                <w:color w:val="auto"/>
              </w:rPr>
              <w:t>Accumulated tax losses of the Group amount to the following:</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9"/>
          </w:tcPr>
          <w:p>
            <w:pPr>
              <w:jc w:val="center"/>
              <w:ind w:left="134"/>
              <w:spacing w:after="0"/>
              <w:rPr>
                <w:sz w:val="20"/>
                <w:szCs w:val="20"/>
                <w:color w:val="auto"/>
              </w:rPr>
            </w:pPr>
            <w:r>
              <w:rPr>
                <w:rFonts w:ascii="Arial" w:cs="Arial" w:eastAsia="Arial" w:hAnsi="Arial"/>
                <w:sz w:val="14"/>
                <w:szCs w:val="14"/>
                <w:b w:val="1"/>
                <w:bCs w:val="1"/>
                <w:color w:val="auto"/>
                <w:w w:val="90"/>
              </w:rPr>
              <w:t>Year ended</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January 1,</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vMerge w:val="restart"/>
          </w:tcPr>
          <w:p>
            <w:pPr>
              <w:spacing w:after="0"/>
              <w:rPr>
                <w:sz w:val="14"/>
                <w:szCs w:val="1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92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9"/>
          </w:tcPr>
          <w:p>
            <w:pPr>
              <w:jc w:val="center"/>
              <w:ind w:left="134"/>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39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5"/>
          </w:tcPr>
          <w:p>
            <w:pPr>
              <w:jc w:val="right"/>
              <w:ind w:right="132"/>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Corporate Tax</w:t>
            </w:r>
          </w:p>
        </w:tc>
        <w:tc>
          <w:tcPr>
            <w:tcW w:w="1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€179,264</w:t>
            </w:r>
          </w:p>
        </w:tc>
        <w:tc>
          <w:tcPr>
            <w:tcW w:w="340" w:type="dxa"/>
            <w:vAlign w:val="bottom"/>
            <w:tcBorders>
              <w:top w:val="single" w:sz="8" w:color="CCEEFF"/>
            </w:tcBorders>
            <w:gridSpan w:val="3"/>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€178,491</w:t>
            </w:r>
          </w:p>
        </w:tc>
        <w:tc>
          <w:tcPr>
            <w:tcW w:w="480" w:type="dxa"/>
            <w:vAlign w:val="bottom"/>
            <w:tcBorders>
              <w:top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€124,401</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Trade Tax</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176,425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6"/>
          </w:tcPr>
          <w:p>
            <w:pPr>
              <w:jc w:val="right"/>
              <w:ind w:right="230"/>
              <w:spacing w:after="0"/>
              <w:rPr>
                <w:sz w:val="20"/>
                <w:szCs w:val="20"/>
                <w:color w:val="auto"/>
              </w:rPr>
            </w:pPr>
            <w:r>
              <w:rPr>
                <w:rFonts w:ascii="Arial" w:cs="Arial" w:eastAsia="Arial" w:hAnsi="Arial"/>
                <w:sz w:val="18"/>
                <w:szCs w:val="18"/>
                <w:color w:val="auto"/>
              </w:rPr>
              <w:t>176,024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122,904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Deferred tax assets on tax losses have not been capitalized as there is no sufficient probability in terms of IAS 12 that there will be future taxable profits available against which the unused tax losses can be utilized. The accumulated tax losses relate entirely to Germany. There is no expiration date for any for the accumulated tax losses under German law.</w:t>
      </w:r>
    </w:p>
    <w:p>
      <w:pPr>
        <w:spacing w:after="0" w:line="326" w:lineRule="exact"/>
        <w:rPr>
          <w:sz w:val="20"/>
          <w:szCs w:val="20"/>
          <w:color w:val="auto"/>
        </w:rPr>
      </w:pPr>
    </w:p>
    <w:p>
      <w:pPr>
        <w:ind w:left="980" w:hanging="776"/>
        <w:spacing w:after="0"/>
        <w:tabs>
          <w:tab w:leader="none" w:pos="98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Basic earnings per share (EPS) is calculated by dividing the loss for the year attributable to ordinary equity holders of the parent by the weighted average number of ordinary shares outstanding during the year.</w:t>
      </w:r>
    </w:p>
    <w:p>
      <w:pPr>
        <w:spacing w:after="0" w:line="170"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Diluted EPS is calculated by dividing the profit attributable to ordinary equity holders of the parent by the weighted average number of ordinary shares outstanding during the year plus the weighted average number of ordinary shares that would be issued on conversion of all the dilutive potential ordinary shares into ordinary shares.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60" w:right="41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reflects the income and share data used in the basic and diluted EPS calculations: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6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54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768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Loss attributable to ordinary equity holders of the parent for basic earnings</w:t>
            </w:r>
          </w:p>
        </w:tc>
        <w:tc>
          <w:tcPr>
            <w:tcW w:w="15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 (48,018</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 (85,653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 average number of ordinary shares for basic EPS*</w:t>
            </w:r>
          </w:p>
        </w:tc>
        <w:tc>
          <w:tcPr>
            <w:tcW w:w="2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80" w:type="dxa"/>
            <w:vAlign w:val="bottom"/>
            <w:gridSpan w:val="3"/>
            <w:vMerge w:val="continue"/>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190,710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Effects of dilution from share options</w:t>
            </w:r>
          </w:p>
        </w:tc>
        <w:tc>
          <w:tcPr>
            <w:tcW w:w="1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Weighted average number of ordinary shares adjusted for the effect of dilution*</w:t>
            </w:r>
          </w:p>
        </w:tc>
        <w:tc>
          <w:tcPr>
            <w:tcW w:w="1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190,710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166,764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The weighted average number of shares takes into account the weighted average effect of changes in shares during the year.</w:t>
      </w:r>
    </w:p>
    <w:p>
      <w:pPr>
        <w:spacing w:after="0" w:line="225" w:lineRule="exact"/>
        <w:rPr>
          <w:sz w:val="20"/>
          <w:szCs w:val="20"/>
          <w:color w:val="auto"/>
        </w:rPr>
      </w:pPr>
    </w:p>
    <w:p>
      <w:pPr>
        <w:ind w:left="200" w:right="580" w:firstLine="441"/>
        <w:spacing w:after="0" w:line="264" w:lineRule="auto"/>
        <w:rPr>
          <w:sz w:val="20"/>
          <w:szCs w:val="20"/>
          <w:color w:val="auto"/>
        </w:rPr>
      </w:pPr>
      <w:r>
        <w:rPr>
          <w:rFonts w:ascii="Arial" w:cs="Arial" w:eastAsia="Arial" w:hAnsi="Arial"/>
          <w:sz w:val="18"/>
          <w:szCs w:val="18"/>
          <w:color w:val="auto"/>
        </w:rPr>
        <w:t>There have been no other transactions involving ordinary shares or potential ordinary shares between the reporting date and the date of authorization of these financial statements. Stock options were not included in the calculation of diluted EPS because they are antidilutive for the periods presented.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59" w:right="41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6220" w:type="dxa"/>
            <w:vAlign w:val="bottom"/>
            <w:gridSpan w:val="2"/>
          </w:tcPr>
          <w:p>
            <w:pPr>
              <w:ind w:left="560"/>
              <w:spacing w:after="0"/>
              <w:rPr>
                <w:sz w:val="20"/>
                <w:szCs w:val="20"/>
                <w:color w:val="auto"/>
              </w:rPr>
            </w:pPr>
            <w:r>
              <w:rPr>
                <w:rFonts w:ascii="Arial" w:cs="Arial" w:eastAsia="Arial" w:hAnsi="Arial"/>
                <w:sz w:val="18"/>
                <w:szCs w:val="18"/>
                <w:b w:val="1"/>
                <w:bCs w:val="1"/>
                <w:color w:val="auto"/>
              </w:rPr>
              <w:t>Property, plant and equipment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Equipment,</w:t>
            </w: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Construction in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Land and</w:t>
            </w:r>
          </w:p>
        </w:tc>
        <w:tc>
          <w:tcPr>
            <w:tcW w:w="4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progress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gridSpan w:val="4"/>
            <w:vMerge w:val="restart"/>
          </w:tcPr>
          <w:p>
            <w:pPr>
              <w:spacing w:after="0"/>
              <w:rPr>
                <w:sz w:val="20"/>
                <w:szCs w:val="20"/>
                <w:color w:val="auto"/>
              </w:rPr>
            </w:pPr>
            <w:r>
              <w:rPr>
                <w:rFonts w:ascii="Arial" w:cs="Arial" w:eastAsia="Arial" w:hAnsi="Arial"/>
                <w:sz w:val="14"/>
                <w:szCs w:val="14"/>
                <w:color w:val="auto"/>
              </w:rPr>
              <w:t>(in thousands)</w:t>
            </w:r>
          </w:p>
        </w:tc>
        <w:tc>
          <w:tcPr>
            <w:tcW w:w="6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tools and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advance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4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89"/>
              </w:rPr>
              <w:t>buildings</w:t>
            </w:r>
          </w:p>
        </w:tc>
        <w:tc>
          <w:tcPr>
            <w:tcW w:w="1500" w:type="dxa"/>
            <w:vAlign w:val="bottom"/>
            <w:gridSpan w:val="4"/>
          </w:tcPr>
          <w:p>
            <w:pPr>
              <w:ind w:left="460"/>
              <w:spacing w:after="0" w:line="158" w:lineRule="exact"/>
              <w:rPr>
                <w:sz w:val="20"/>
                <w:szCs w:val="20"/>
                <w:color w:val="auto"/>
              </w:rPr>
            </w:pPr>
            <w:r>
              <w:rPr>
                <w:rFonts w:ascii="Arial" w:cs="Arial" w:eastAsia="Arial" w:hAnsi="Arial"/>
                <w:sz w:val="14"/>
                <w:szCs w:val="14"/>
                <w:b w:val="1"/>
                <w:bCs w:val="1"/>
                <w:color w:val="auto"/>
              </w:rPr>
              <w:t>installations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payments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Acquisition and production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As of January 1, 2017</w:t>
            </w: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w w:val="82"/>
              </w:rPr>
              <w:t>€ 11,126</w:t>
            </w:r>
          </w:p>
        </w:tc>
        <w:tc>
          <w:tcPr>
            <w:tcW w:w="560" w:type="dxa"/>
            <w:vAlign w:val="bottom"/>
            <w:gridSpan w:val="2"/>
          </w:tcPr>
          <w:p>
            <w:pPr>
              <w:ind w:left="4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39,944</w:t>
            </w: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3,613</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54,683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Disposals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13,077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January 1,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13,077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Disposals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As of December 31, 2018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22,147</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73,613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7,091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102,853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Equipment,</w:t>
            </w: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Construction in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Land and</w:t>
            </w:r>
          </w:p>
        </w:tc>
        <w:tc>
          <w:tcPr>
            <w:tcW w:w="4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progress and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tools and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advance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9"/>
              </w:rPr>
              <w:t>buildings</w:t>
            </w:r>
          </w:p>
        </w:tc>
        <w:tc>
          <w:tcPr>
            <w:tcW w:w="1500" w:type="dxa"/>
            <w:vAlign w:val="bottom"/>
            <w:gridSpan w:val="4"/>
          </w:tcPr>
          <w:p>
            <w:pPr>
              <w:ind w:left="460"/>
              <w:spacing w:after="0"/>
              <w:rPr>
                <w:sz w:val="20"/>
                <w:szCs w:val="20"/>
                <w:color w:val="auto"/>
              </w:rPr>
            </w:pPr>
            <w:r>
              <w:rPr>
                <w:rFonts w:ascii="Arial" w:cs="Arial" w:eastAsia="Arial" w:hAnsi="Arial"/>
                <w:sz w:val="14"/>
                <w:szCs w:val="14"/>
                <w:b w:val="1"/>
                <w:bCs w:val="1"/>
                <w:color w:val="auto"/>
              </w:rPr>
              <w:t>installations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payments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depreciation and impairment charges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As of January 1, 2017</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5,232</w:t>
            </w:r>
          </w:p>
        </w:tc>
        <w:tc>
          <w:tcPr>
            <w:tcW w:w="560" w:type="dxa"/>
            <w:vAlign w:val="bottom"/>
            <w:gridSpan w:val="2"/>
          </w:tcPr>
          <w:p>
            <w:pPr>
              <w:ind w:left="4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17,076</w:t>
            </w:r>
          </w:p>
        </w:tc>
        <w:tc>
          <w:tcPr>
            <w:tcW w:w="28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rPr>
              <w:t>As of December 31, 2017</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22,013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January 1,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20" w:type="dxa"/>
            <w:vAlign w:val="bottom"/>
            <w:gridSpan w:val="2"/>
          </w:tcPr>
          <w:p>
            <w:pPr>
              <w:ind w:left="50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 December 31, 2018</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6,472</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color w:val="auto"/>
              </w:rPr>
              <w:t>As of January 1, 2017</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 of December 31, 2017</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As of December 31, 2018</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 xml:space="preserve"> 15,675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Assets under construction</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Assets under construction for buildings included in property, plant and equipment amounted to k€5,725 as of December 31, 2018 (December 31, 2017: k€1,327; January 1, 2017: nil).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59" w:right="41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10</w:t>
            </w:r>
          </w:p>
        </w:tc>
        <w:tc>
          <w:tcPr>
            <w:tcW w:w="140" w:type="dxa"/>
            <w:vAlign w:val="bottom"/>
          </w:tcPr>
          <w:p>
            <w:pPr>
              <w:spacing w:after="0"/>
              <w:rPr>
                <w:sz w:val="20"/>
                <w:szCs w:val="20"/>
                <w:color w:val="auto"/>
              </w:rPr>
            </w:pPr>
          </w:p>
        </w:tc>
        <w:tc>
          <w:tcPr>
            <w:tcW w:w="5720" w:type="dxa"/>
            <w:vAlign w:val="bottom"/>
            <w:gridSpan w:val="2"/>
          </w:tcPr>
          <w:p>
            <w:pPr>
              <w:ind w:left="320"/>
              <w:spacing w:after="0"/>
              <w:rPr>
                <w:sz w:val="20"/>
                <w:szCs w:val="20"/>
                <w:color w:val="auto"/>
              </w:rPr>
            </w:pPr>
            <w:r>
              <w:rPr>
                <w:rFonts w:ascii="Arial" w:cs="Arial" w:eastAsia="Arial" w:hAnsi="Arial"/>
                <w:sz w:val="18"/>
                <w:szCs w:val="18"/>
                <w:b w:val="1"/>
                <w:bCs w:val="1"/>
                <w:color w:val="auto"/>
              </w:rPr>
              <w:t>Intangible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Concessions,</w:t>
            </w:r>
          </w:p>
        </w:tc>
        <w:tc>
          <w:tcPr>
            <w:tcW w:w="500" w:type="dxa"/>
            <w:vAlign w:val="bottom"/>
          </w:tcPr>
          <w:p>
            <w:pPr>
              <w:spacing w:after="0"/>
              <w:rPr>
                <w:sz w:val="24"/>
                <w:szCs w:val="2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Advance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5860" w:type="dxa"/>
            <w:vAlign w:val="bottom"/>
            <w:gridSpan w:val="3"/>
            <w:vMerge w:val="restart"/>
          </w:tcPr>
          <w:p>
            <w:pPr>
              <w:ind w:left="120"/>
              <w:spacing w:after="0"/>
              <w:rPr>
                <w:sz w:val="20"/>
                <w:szCs w:val="20"/>
                <w:color w:val="auto"/>
              </w:rPr>
            </w:pPr>
            <w:r>
              <w:rPr>
                <w:rFonts w:ascii="Arial" w:cs="Arial" w:eastAsia="Arial" w:hAnsi="Arial"/>
                <w:sz w:val="14"/>
                <w:szCs w:val="14"/>
                <w:color w:val="auto"/>
              </w:rPr>
              <w:t>(in thousands)</w:t>
            </w: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Goodwill</w:t>
            </w:r>
          </w:p>
        </w:tc>
        <w:tc>
          <w:tcPr>
            <w:tcW w:w="5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licenses and</w:t>
            </w:r>
          </w:p>
        </w:tc>
        <w:tc>
          <w:tcPr>
            <w:tcW w:w="5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5860" w:type="dxa"/>
            <w:vAlign w:val="bottom"/>
            <w:gridSpan w:val="3"/>
            <w:vMerge w:val="continue"/>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1360" w:type="dxa"/>
            <w:vAlign w:val="bottom"/>
            <w:gridSpan w:val="3"/>
          </w:tcPr>
          <w:p>
            <w:pPr>
              <w:jc w:val="center"/>
              <w:ind w:left="415"/>
              <w:spacing w:after="0" w:line="158" w:lineRule="exact"/>
              <w:rPr>
                <w:sz w:val="20"/>
                <w:szCs w:val="20"/>
                <w:color w:val="auto"/>
              </w:rPr>
            </w:pPr>
            <w:r>
              <w:rPr>
                <w:rFonts w:ascii="Arial" w:cs="Arial" w:eastAsia="Arial" w:hAnsi="Arial"/>
                <w:sz w:val="14"/>
                <w:szCs w:val="14"/>
                <w:b w:val="1"/>
                <w:bCs w:val="1"/>
                <w:color w:val="auto"/>
                <w:w w:val="93"/>
              </w:rPr>
              <w:t>similar rights</w:t>
            </w:r>
          </w:p>
        </w:tc>
        <w:tc>
          <w:tcPr>
            <w:tcW w:w="1400" w:type="dxa"/>
            <w:vAlign w:val="bottom"/>
            <w:gridSpan w:val="4"/>
          </w:tcPr>
          <w:p>
            <w:pPr>
              <w:ind w:left="500"/>
              <w:spacing w:after="0" w:line="158" w:lineRule="exact"/>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Acquisition costs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As of January 1, 2017</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w w:val="86"/>
              </w:rPr>
              <w:t>534</w:t>
            </w:r>
          </w:p>
        </w:tc>
        <w:tc>
          <w:tcPr>
            <w:tcW w:w="68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9,421</w:t>
            </w:r>
          </w:p>
        </w:tc>
        <w:tc>
          <w:tcPr>
            <w:tcW w:w="600" w:type="dxa"/>
            <w:vAlign w:val="bottom"/>
            <w:gridSpan w:val="2"/>
          </w:tcPr>
          <w:p>
            <w:pPr>
              <w:ind w:left="50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3,839</w:t>
            </w:r>
          </w:p>
        </w:tc>
        <w:tc>
          <w:tcPr>
            <w:tcW w:w="30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13,793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tcPr>
          <w:p>
            <w:pPr>
              <w:ind w:left="700"/>
              <w:spacing w:after="0"/>
              <w:rPr>
                <w:sz w:val="20"/>
                <w:szCs w:val="20"/>
                <w:color w:val="auto"/>
              </w:rPr>
            </w:pPr>
            <w:r>
              <w:rPr>
                <w:rFonts w:ascii="Arial" w:cs="Arial" w:eastAsia="Arial" w:hAnsi="Arial"/>
                <w:sz w:val="18"/>
                <w:szCs w:val="18"/>
                <w:color w:val="auto"/>
              </w:rPr>
              <w:t>Reclassifications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December 31, 2017</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6"/>
              </w:rPr>
              <w:t>534</w:t>
            </w: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85,271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20" w:type="dxa"/>
            <w:vAlign w:val="bottom"/>
            <w:gridSpan w:val="2"/>
            <w:vMerge w:val="restart"/>
          </w:tcPr>
          <w:p>
            <w:pPr>
              <w:ind w:left="340"/>
              <w:spacing w:after="0"/>
              <w:rPr>
                <w:sz w:val="20"/>
                <w:szCs w:val="20"/>
                <w:color w:val="auto"/>
              </w:rPr>
            </w:pPr>
            <w:r>
              <w:rPr>
                <w:rFonts w:ascii="Arial" w:cs="Arial" w:eastAsia="Arial" w:hAnsi="Arial"/>
                <w:sz w:val="18"/>
                <w:szCs w:val="18"/>
                <w:color w:val="auto"/>
              </w:rPr>
              <w:t>As of January 1, 2018</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w w:val="86"/>
              </w:rPr>
              <w:t>534</w:t>
            </w:r>
          </w:p>
        </w:tc>
        <w:tc>
          <w:tcPr>
            <w:tcW w:w="5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85,271</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89,370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tcPr>
          <w:p>
            <w:pPr>
              <w:ind w:left="700"/>
              <w:spacing w:after="0"/>
              <w:rPr>
                <w:sz w:val="20"/>
                <w:szCs w:val="20"/>
                <w:color w:val="auto"/>
              </w:rPr>
            </w:pPr>
            <w:r>
              <w:rPr>
                <w:rFonts w:ascii="Arial" w:cs="Arial" w:eastAsia="Arial" w:hAnsi="Arial"/>
                <w:sz w:val="18"/>
                <w:szCs w:val="18"/>
                <w:color w:val="auto"/>
              </w:rPr>
              <w:t>Disposals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Reclassifications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(4,431)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b w:val="1"/>
                <w:bCs w:val="1"/>
                <w:color w:val="auto"/>
              </w:rPr>
              <w:t>As at December 31, 2018</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534</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101,853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103,883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Concessions,</w:t>
            </w:r>
          </w:p>
        </w:tc>
        <w:tc>
          <w:tcPr>
            <w:tcW w:w="500" w:type="dxa"/>
            <w:vAlign w:val="bottom"/>
          </w:tcPr>
          <w:p>
            <w:pPr>
              <w:spacing w:after="0"/>
              <w:rPr>
                <w:sz w:val="24"/>
                <w:szCs w:val="2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Advance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Goodwill</w:t>
            </w:r>
          </w:p>
        </w:tc>
        <w:tc>
          <w:tcPr>
            <w:tcW w:w="5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licenses and</w:t>
            </w:r>
          </w:p>
        </w:tc>
        <w:tc>
          <w:tcPr>
            <w:tcW w:w="5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360" w:type="dxa"/>
            <w:vAlign w:val="bottom"/>
            <w:gridSpan w:val="3"/>
          </w:tcPr>
          <w:p>
            <w:pPr>
              <w:jc w:val="center"/>
              <w:ind w:left="415"/>
              <w:spacing w:after="0"/>
              <w:rPr>
                <w:sz w:val="20"/>
                <w:szCs w:val="20"/>
                <w:color w:val="auto"/>
              </w:rPr>
            </w:pPr>
            <w:r>
              <w:rPr>
                <w:rFonts w:ascii="Arial" w:cs="Arial" w:eastAsia="Arial" w:hAnsi="Arial"/>
                <w:sz w:val="14"/>
                <w:szCs w:val="14"/>
                <w:b w:val="1"/>
                <w:bCs w:val="1"/>
                <w:color w:val="auto"/>
                <w:w w:val="93"/>
              </w:rPr>
              <w:t>similar rights</w:t>
            </w:r>
          </w:p>
        </w:tc>
        <w:tc>
          <w:tcPr>
            <w:tcW w:w="1400" w:type="dxa"/>
            <w:vAlign w:val="bottom"/>
            <w:gridSpan w:val="4"/>
          </w:tcPr>
          <w:p>
            <w:pPr>
              <w:ind w:left="500"/>
              <w:spacing w:after="0"/>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Cumulative amortization and impairment charges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As of January 1, 2017</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2,609</w:t>
            </w:r>
          </w:p>
        </w:tc>
        <w:tc>
          <w:tcPr>
            <w:tcW w:w="600" w:type="dxa"/>
            <w:vAlign w:val="bottom"/>
            <w:gridSpan w:val="2"/>
          </w:tcPr>
          <w:p>
            <w:pPr>
              <w:ind w:left="50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700"/>
              <w:spacing w:after="0"/>
              <w:rPr>
                <w:sz w:val="20"/>
                <w:szCs w:val="20"/>
                <w:color w:val="auto"/>
              </w:rPr>
            </w:pPr>
            <w:r>
              <w:rPr>
                <w:rFonts w:ascii="Arial" w:cs="Arial" w:eastAsia="Arial" w:hAnsi="Arial"/>
                <w:sz w:val="18"/>
                <w:szCs w:val="18"/>
                <w:color w:val="auto"/>
              </w:rPr>
              <w:t>Impairment loss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December 31, 2017</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20" w:type="dxa"/>
            <w:vAlign w:val="bottom"/>
            <w:gridSpan w:val="2"/>
            <w:vMerge w:val="restart"/>
          </w:tcPr>
          <w:p>
            <w:pPr>
              <w:ind w:left="340"/>
              <w:spacing w:after="0"/>
              <w:rPr>
                <w:sz w:val="20"/>
                <w:szCs w:val="20"/>
                <w:color w:val="auto"/>
              </w:rPr>
            </w:pPr>
            <w:r>
              <w:rPr>
                <w:rFonts w:ascii="Arial" w:cs="Arial" w:eastAsia="Arial" w:hAnsi="Arial"/>
                <w:sz w:val="18"/>
                <w:szCs w:val="18"/>
                <w:color w:val="auto"/>
              </w:rPr>
              <w:t>As of January 1, 2018</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5,833</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b w:val="1"/>
                <w:bCs w:val="1"/>
                <w:color w:val="auto"/>
              </w:rPr>
              <w:t>As at December 31, 2018</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15,842</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As January 1, 2017</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ind w:left="100"/>
              <w:spacing w:after="0"/>
              <w:rPr>
                <w:sz w:val="20"/>
                <w:szCs w:val="20"/>
                <w:color w:val="auto"/>
              </w:rPr>
            </w:pPr>
            <w:r>
              <w:rPr>
                <w:rFonts w:ascii="Arial" w:cs="Arial" w:eastAsia="Arial" w:hAnsi="Arial"/>
                <w:sz w:val="18"/>
                <w:szCs w:val="18"/>
                <w:b w:val="1"/>
                <w:bCs w:val="1"/>
                <w:color w:val="auto"/>
                <w:w w:val="86"/>
              </w:rPr>
              <w:t>534</w:t>
            </w:r>
          </w:p>
        </w:tc>
        <w:tc>
          <w:tcPr>
            <w:tcW w:w="68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6,812</w:t>
            </w:r>
          </w:p>
        </w:tc>
        <w:tc>
          <w:tcPr>
            <w:tcW w:w="600" w:type="dxa"/>
            <w:vAlign w:val="bottom"/>
            <w:gridSpan w:val="2"/>
          </w:tcPr>
          <w:p>
            <w:pPr>
              <w:ind w:left="50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3,839</w:t>
            </w:r>
          </w:p>
        </w:tc>
        <w:tc>
          <w:tcPr>
            <w:tcW w:w="30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 of December 31, 2017</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6"/>
              </w:rPr>
              <w:t>534</w:t>
            </w: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79,438</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b w:val="1"/>
                <w:bCs w:val="1"/>
                <w:color w:val="auto"/>
              </w:rPr>
              <w:t>As of December 31, 2018</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86"/>
              </w:rPr>
              <w:t>534</w:t>
            </w: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86,011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Intangible assets comprise a license with a carrying amount of k€55,420 (December 31, 2017: k€61,876; January 1, 2017: nil) and a useful lifetime of 10 years.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Impairments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2017, an impairment loss of k€281 was recorded for a software program. The impairment loss was recognized under other operating expenses.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Contractual commitments for the acquisition of intangible assets amounts to k€19,482 (2017: k€40,078; January 1, 2017: nil).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impairment testing, goodwill acquired through business combinations and intangible assets not yet in use have been allocated to the respective cash-generating units.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59" w:right="45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CGUs are based on the level of legal entities. Therefore, the goodwill has been allocated to the CGU JPT.</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JPT</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380" w:type="dxa"/>
            <w:vAlign w:val="bottom"/>
          </w:tcPr>
          <w:p>
            <w:pPr>
              <w:spacing w:after="0"/>
              <w:rPr>
                <w:sz w:val="10"/>
                <w:szCs w:val="10"/>
                <w:color w:val="auto"/>
              </w:rPr>
            </w:pP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60" w:type="dxa"/>
            <w:vAlign w:val="bottom"/>
            <w:gridSpan w:val="2"/>
          </w:tcPr>
          <w:p>
            <w:pPr>
              <w:jc w:val="right"/>
              <w:ind w:right="8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January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15"/>
                <w:szCs w:val="15"/>
                <w:color w:val="auto"/>
              </w:rPr>
            </w:pPr>
          </w:p>
        </w:tc>
        <w:tc>
          <w:tcPr>
            <w:tcW w:w="840" w:type="dxa"/>
            <w:vAlign w:val="bottom"/>
          </w:tcPr>
          <w:p>
            <w:pPr>
              <w:jc w:val="right"/>
              <w:ind w:right="205"/>
              <w:spacing w:after="0" w:line="158" w:lineRule="exact"/>
              <w:rPr>
                <w:sz w:val="20"/>
                <w:szCs w:val="20"/>
                <w:color w:val="auto"/>
              </w:rPr>
            </w:pPr>
            <w:r>
              <w:rPr>
                <w:rFonts w:ascii="Arial" w:cs="Arial" w:eastAsia="Arial" w:hAnsi="Arial"/>
                <w:sz w:val="14"/>
                <w:szCs w:val="14"/>
                <w:b w:val="1"/>
                <w:bCs w:val="1"/>
                <w:color w:val="auto"/>
              </w:rPr>
              <w:t>2017</w:t>
            </w:r>
          </w:p>
        </w:tc>
        <w:tc>
          <w:tcPr>
            <w:tcW w:w="820" w:type="dxa"/>
            <w:vAlign w:val="bottom"/>
          </w:tcPr>
          <w:p>
            <w:pPr>
              <w:spacing w:after="0"/>
              <w:rPr>
                <w:sz w:val="15"/>
                <w:szCs w:val="15"/>
                <w:color w:val="auto"/>
              </w:rPr>
            </w:pPr>
          </w:p>
        </w:tc>
        <w:tc>
          <w:tcPr>
            <w:tcW w:w="660" w:type="dxa"/>
            <w:vAlign w:val="bottom"/>
          </w:tcPr>
          <w:p>
            <w:pPr>
              <w:jc w:val="right"/>
              <w:ind w:right="104"/>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Goodwill</w:t>
            </w:r>
          </w:p>
        </w:tc>
        <w:tc>
          <w:tcPr>
            <w:tcW w:w="4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8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8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Group performed its annual goodwill impairment for the balance sheet dates January 1, 2017, December 31, 2017 and December 31, 2018.</w:t>
      </w:r>
    </w:p>
    <w:p>
      <w:pPr>
        <w:spacing w:after="0" w:line="24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recoverable amount was determined on a value in use calculation using cash flow projections from budgets approved by senior management covering a five-year period.</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Management concluded that no reasonable possible change of key assumptions on which the calculation of the recoverable amount is based would cause the carrying amount of the CGU to exceed its recoverable amount.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pre-tax discount rate applied to cash flow projections for the year ended 2018 is 12.2% (December 31, 2017: 12.3%; January 1, 2017: 12.3%)</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cash flows beyond the five-year period are extrapolated using a 1.0% growth rate (2017: 1.0%; 2016: 1.0%).</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the recoverable amount exceeded the carrying amount of the CGU for every balance sheet date, no impairment charge was required.</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Intangible assets not yet available for use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2018, there were no intangible assets not yet available that were not recognized.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2017, the Group performed an impairment test for intangible assets not yet in use, which had carrying amounts of k€1,190 (January 1, 2017:</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nil).</w:t>
      </w:r>
    </w:p>
    <w:p>
      <w:pPr>
        <w:spacing w:after="0" w:line="21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recoverable amount was determined on a value in use calculation. Intangible assets of k€1,190 were available for use as planned during the current period.</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Management concluded that no reasonable possible change of key assumptions on which the calculation of the recoverable amount is based would cause the carrying amount of the CGU to exceed its recoverable amount.</w:t>
      </w:r>
    </w:p>
    <w:p>
      <w:pPr>
        <w:spacing w:after="0" w:line="315" w:lineRule="exact"/>
        <w:rPr>
          <w:sz w:val="20"/>
          <w:szCs w:val="20"/>
          <w:color w:val="auto"/>
        </w:rPr>
      </w:pPr>
    </w:p>
    <w:p>
      <w:pPr>
        <w:ind w:left="980" w:hanging="776"/>
        <w:spacing w:after="0"/>
        <w:tabs>
          <w:tab w:leader="none" w:pos="98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and financial liabilities</w:t>
      </w:r>
    </w:p>
    <w:p>
      <w:pPr>
        <w:spacing w:after="0" w:line="130"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11.1</w:t>
      </w:r>
      <w:r>
        <w:rPr>
          <w:rFonts w:ascii="Arial" w:cs="Arial" w:eastAsia="Arial" w:hAnsi="Arial"/>
          <w:sz w:val="16"/>
          <w:szCs w:val="16"/>
          <w:b w:val="1"/>
          <w:bCs w:val="1"/>
          <w:color w:val="auto"/>
        </w:rPr>
        <w:t>Capital risk management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objective of the capital management of BioNTech is primarily designed to finance the Group’s growth strategy.</w:t>
      </w:r>
    </w:p>
    <w:p>
      <w:pPr>
        <w:spacing w:after="0" w:line="225"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The Group’s controlling committee reviews the total amount of cash of the Group on a weekly basis. As part of this review, the committee considers the total cash and cash equivalents, the cash outflow, currency translation differences and refinancing activities. The Group monitors cash using a burn rate. The cash burn rate is defined as the average monthly net cash flow from operating and investing activities during a financial year.</w:t>
      </w:r>
    </w:p>
    <w:p>
      <w:pPr>
        <w:spacing w:after="0" w:line="165"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2340" w:type="dxa"/>
            <w:vAlign w:val="bottom"/>
            <w:vMerge w:val="restart"/>
          </w:tcPr>
          <w:p>
            <w:pPr>
              <w:spacing w:after="0"/>
              <w:rPr>
                <w:sz w:val="14"/>
                <w:szCs w:val="14"/>
                <w:color w:val="auto"/>
              </w:rPr>
            </w:pPr>
          </w:p>
        </w:tc>
        <w:tc>
          <w:tcPr>
            <w:tcW w:w="2500" w:type="dxa"/>
            <w:vAlign w:val="bottom"/>
          </w:tcPr>
          <w:p>
            <w:pPr>
              <w:spacing w:after="0"/>
              <w:rPr>
                <w:sz w:val="14"/>
                <w:szCs w:val="14"/>
                <w:color w:val="auto"/>
              </w:rPr>
            </w:pPr>
          </w:p>
        </w:tc>
        <w:tc>
          <w:tcPr>
            <w:tcW w:w="256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6"/>
              </w:rPr>
              <w:t>As at 1 January</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2340" w:type="dxa"/>
            <w:vAlign w:val="bottom"/>
            <w:vMerge w:val="continue"/>
          </w:tcPr>
          <w:p>
            <w:pPr>
              <w:spacing w:after="0"/>
              <w:rPr>
                <w:sz w:val="12"/>
                <w:szCs w:val="12"/>
                <w:color w:val="auto"/>
              </w:rPr>
            </w:pPr>
          </w:p>
        </w:tc>
        <w:tc>
          <w:tcPr>
            <w:tcW w:w="2500" w:type="dxa"/>
            <w:vAlign w:val="bottom"/>
          </w:tcPr>
          <w:p>
            <w:pPr>
              <w:spacing w:after="0"/>
              <w:rPr>
                <w:sz w:val="12"/>
                <w:szCs w:val="12"/>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2018</w:t>
            </w:r>
          </w:p>
        </w:tc>
        <w:tc>
          <w:tcPr>
            <w:tcW w:w="6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2017</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2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411,495</w:t>
            </w: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172,106</w:t>
            </w: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303,680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411,495</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172,106</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780" w:type="dxa"/>
            <w:vAlign w:val="bottom"/>
            <w:gridSpan w:val="3"/>
          </w:tcPr>
          <w:p>
            <w:pPr>
              <w:ind w:left="1280"/>
              <w:spacing w:after="0"/>
              <w:rPr>
                <w:sz w:val="20"/>
                <w:szCs w:val="20"/>
                <w:color w:val="auto"/>
              </w:rPr>
            </w:pPr>
            <w:r>
              <w:rPr>
                <w:rFonts w:ascii="Arial" w:cs="Arial" w:eastAsia="Arial" w:hAnsi="Arial"/>
                <w:sz w:val="18"/>
                <w:szCs w:val="18"/>
                <w:color w:val="auto"/>
              </w:rPr>
              <w:t>F-54</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meeting its financing objectives, the Group negotiates and enters into research cooperation agreements. In general, the aim is to maximize the financial resources available for further research and development projects.</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BioNTech is not subject to externally imposed capital requirements. The objectives of BioNTech’s capital management were achieved in the reporting year.</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 changes were made in the objectives, policies or processes for managing cash during the years ended December 31, 2018 and 2017.</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11.2</w:t>
            </w:r>
          </w:p>
        </w:tc>
        <w:tc>
          <w:tcPr>
            <w:tcW w:w="4920" w:type="dxa"/>
            <w:vAlign w:val="bottom"/>
            <w:gridSpan w:val="3"/>
          </w:tcPr>
          <w:p>
            <w:pPr>
              <w:ind w:left="240"/>
              <w:spacing w:after="0"/>
              <w:rPr>
                <w:sz w:val="20"/>
                <w:szCs w:val="20"/>
                <w:color w:val="auto"/>
              </w:rPr>
            </w:pPr>
            <w:r>
              <w:rPr>
                <w:rFonts w:ascii="Arial" w:cs="Arial" w:eastAsia="Arial" w:hAnsi="Arial"/>
                <w:sz w:val="18"/>
                <w:szCs w:val="18"/>
                <w:b w:val="1"/>
                <w:bCs w:val="1"/>
                <w:color w:val="auto"/>
              </w:rPr>
              <w:t>Categories of financial instruments</w:t>
            </w:r>
          </w:p>
        </w:tc>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60" w:type="dxa"/>
            <w:vAlign w:val="bottom"/>
            <w:gridSpan w:val="4"/>
          </w:tcPr>
          <w:p>
            <w:pPr>
              <w:spacing w:after="0"/>
              <w:rPr>
                <w:sz w:val="20"/>
                <w:szCs w:val="20"/>
                <w:color w:val="auto"/>
              </w:rPr>
            </w:pPr>
            <w:r>
              <w:rPr>
                <w:rFonts w:ascii="Arial" w:cs="Arial" w:eastAsia="Arial" w:hAnsi="Arial"/>
                <w:sz w:val="18"/>
                <w:szCs w:val="18"/>
                <w:b w:val="1"/>
                <w:bCs w:val="1"/>
                <w:color w:val="auto"/>
              </w:rPr>
              <w:t>Financial assets at amortised cost</w:t>
            </w: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40" w:type="dxa"/>
            <w:vAlign w:val="bottom"/>
          </w:tcPr>
          <w:p>
            <w:pPr>
              <w:spacing w:after="0"/>
              <w:rPr>
                <w:sz w:val="24"/>
                <w:szCs w:val="24"/>
                <w:color w:val="auto"/>
              </w:rPr>
            </w:pPr>
          </w:p>
        </w:tc>
        <w:tc>
          <w:tcPr>
            <w:tcW w:w="34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740" w:type="dxa"/>
            <w:vAlign w:val="bottom"/>
            <w:vMerge w:val="restart"/>
          </w:tcPr>
          <w:p>
            <w:pPr>
              <w:spacing w:after="0"/>
              <w:rPr>
                <w:sz w:val="24"/>
                <w:szCs w:val="24"/>
                <w:color w:val="auto"/>
              </w:rPr>
            </w:pPr>
          </w:p>
        </w:tc>
        <w:tc>
          <w:tcPr>
            <w:tcW w:w="21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4"/>
                <w:szCs w:val="24"/>
                <w:color w:val="auto"/>
              </w:rPr>
            </w:pPr>
          </w:p>
        </w:tc>
        <w:tc>
          <w:tcPr>
            <w:tcW w:w="8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 at 1</w:t>
            </w: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9"/>
              </w:rPr>
              <w:t>January 2017</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1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€18,938</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€4,575</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Receivables from co-operation agreements</w:t>
            </w:r>
          </w:p>
        </w:tc>
        <w:tc>
          <w:tcPr>
            <w:tcW w:w="15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assets and receivables</w:t>
            </w:r>
          </w:p>
        </w:tc>
        <w:tc>
          <w:tcPr>
            <w:tcW w:w="2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354</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4920" w:type="dxa"/>
            <w:vAlign w:val="bottom"/>
            <w:gridSpan w:val="3"/>
          </w:tcPr>
          <w:p>
            <w:pPr>
              <w:ind w:left="34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19,292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4,839</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w:t>
            </w:r>
          </w:p>
        </w:tc>
        <w:tc>
          <w:tcPr>
            <w:tcW w:w="2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19,273</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4,820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4,689</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 non-current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liabilities: Interest-bearing loans and borrowings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As at 1</w:t>
            </w:r>
          </w:p>
        </w:tc>
        <w:tc>
          <w:tcPr>
            <w:tcW w:w="0" w:type="dxa"/>
            <w:vAlign w:val="bottom"/>
          </w:tcPr>
          <w:p>
            <w:pPr>
              <w:spacing w:after="0"/>
              <w:rPr>
                <w:sz w:val="1"/>
                <w:szCs w:val="1"/>
                <w:color w:val="auto"/>
              </w:rPr>
            </w:pPr>
          </w:p>
        </w:tc>
      </w:tr>
      <w:tr>
        <w:trPr>
          <w:trHeight w:val="149"/>
        </w:trPr>
        <w:tc>
          <w:tcPr>
            <w:tcW w:w="7240" w:type="dxa"/>
            <w:vAlign w:val="bottom"/>
            <w:gridSpan w:val="3"/>
            <w:vMerge w:val="restart"/>
          </w:tcPr>
          <w:p>
            <w:pPr>
              <w:ind w:left="4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January</w:t>
            </w:r>
          </w:p>
        </w:tc>
        <w:tc>
          <w:tcPr>
            <w:tcW w:w="0" w:type="dxa"/>
            <w:vAlign w:val="bottom"/>
          </w:tcPr>
          <w:p>
            <w:pPr>
              <w:spacing w:after="0"/>
              <w:rPr>
                <w:sz w:val="1"/>
                <w:szCs w:val="1"/>
                <w:color w:val="auto"/>
              </w:rPr>
            </w:pPr>
          </w:p>
        </w:tc>
      </w:tr>
      <w:tr>
        <w:trPr>
          <w:trHeight w:val="158"/>
        </w:trPr>
        <w:tc>
          <w:tcPr>
            <w:tcW w:w="72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center"/>
              <w:ind w:left="54"/>
              <w:spacing w:after="0" w:line="158"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2.15% €10,000,000 secured bank loan</w:t>
            </w:r>
          </w:p>
        </w:tc>
        <w:tc>
          <w:tcPr>
            <w:tcW w:w="88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3"/>
              </w:rPr>
              <w:t>12/30/2027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4,000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2.08% €9,450,000 secured bank loan</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09/30/2028</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1,600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5,600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ind w:left="440"/>
              <w:spacing w:after="0"/>
              <w:rPr>
                <w:sz w:val="20"/>
                <w:szCs w:val="20"/>
                <w:color w:val="auto"/>
              </w:rPr>
            </w:pPr>
            <w:r>
              <w:rPr>
                <w:rFonts w:ascii="Arial" w:cs="Arial" w:eastAsia="Arial" w:hAnsi="Arial"/>
                <w:sz w:val="18"/>
                <w:szCs w:val="18"/>
                <w:color w:val="auto"/>
              </w:rPr>
              <w:t>Total current</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5,600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240" w:type="dxa"/>
            <w:vAlign w:val="bottom"/>
            <w:gridSpan w:val="3"/>
          </w:tcPr>
          <w:p>
            <w:pPr>
              <w:spacing w:after="0"/>
              <w:rPr>
                <w:sz w:val="20"/>
                <w:szCs w:val="20"/>
                <w:color w:val="auto"/>
              </w:rPr>
            </w:pPr>
            <w:r>
              <w:rPr>
                <w:rFonts w:ascii="Arial" w:cs="Arial" w:eastAsia="Arial" w:hAnsi="Arial"/>
                <w:sz w:val="18"/>
                <w:szCs w:val="18"/>
                <w:b w:val="1"/>
                <w:bCs w:val="1"/>
                <w:color w:val="auto"/>
                <w:w w:val="91"/>
              </w:rPr>
              <w:t>Other financial liabilities at amortised cost, other than interest-bearing loans and borrowings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40" w:type="dxa"/>
            <w:vAlign w:val="bottom"/>
            <w:gridSpan w:val="3"/>
            <w:vMerge w:val="restart"/>
          </w:tcPr>
          <w:p>
            <w:pPr>
              <w:ind w:left="440"/>
              <w:spacing w:after="0"/>
              <w:rPr>
                <w:sz w:val="20"/>
                <w:szCs w:val="20"/>
                <w:color w:val="auto"/>
              </w:rPr>
            </w:pPr>
            <w:r>
              <w:rPr>
                <w:rFonts w:ascii="Arial" w:cs="Arial" w:eastAsia="Arial" w:hAnsi="Arial"/>
                <w:sz w:val="14"/>
                <w:szCs w:val="14"/>
                <w:color w:val="auto"/>
              </w:rPr>
              <w:t>(in thousands)</w:t>
            </w:r>
          </w:p>
        </w:tc>
        <w:tc>
          <w:tcPr>
            <w:tcW w:w="68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As at 1</w:t>
            </w:r>
          </w:p>
        </w:tc>
        <w:tc>
          <w:tcPr>
            <w:tcW w:w="0" w:type="dxa"/>
            <w:vAlign w:val="bottom"/>
          </w:tcPr>
          <w:p>
            <w:pPr>
              <w:spacing w:after="0"/>
              <w:rPr>
                <w:sz w:val="1"/>
                <w:szCs w:val="1"/>
                <w:color w:val="auto"/>
              </w:rPr>
            </w:pPr>
          </w:p>
        </w:tc>
      </w:tr>
      <w:tr>
        <w:trPr>
          <w:trHeight w:val="158"/>
        </w:trPr>
        <w:tc>
          <w:tcPr>
            <w:tcW w:w="724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gridSpan w:val="6"/>
          </w:tcPr>
          <w:p>
            <w:pPr>
              <w:jc w:val="center"/>
              <w:ind w:right="20"/>
              <w:spacing w:after="0" w:line="158" w:lineRule="exact"/>
              <w:rPr>
                <w:sz w:val="20"/>
                <w:szCs w:val="20"/>
                <w:color w:val="auto"/>
              </w:rPr>
            </w:pPr>
            <w:r>
              <w:rPr>
                <w:rFonts w:ascii="Arial" w:cs="Arial" w:eastAsia="Arial" w:hAnsi="Arial"/>
                <w:sz w:val="14"/>
                <w:szCs w:val="14"/>
                <w:b w:val="1"/>
                <w:bCs w:val="1"/>
                <w:color w:val="auto"/>
                <w:w w:val="94"/>
              </w:rPr>
              <w:t>January 2017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and other payables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€41,721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52,538</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50,752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52,182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28,132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from license agreements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Other payables</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2,412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98,605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106,658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45,651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ind w:left="440"/>
              <w:spacing w:after="0"/>
              <w:rPr>
                <w:sz w:val="20"/>
                <w:szCs w:val="20"/>
                <w:color w:val="auto"/>
              </w:rPr>
            </w:pPr>
            <w:r>
              <w:rPr>
                <w:rFonts w:ascii="Arial" w:cs="Arial" w:eastAsia="Arial" w:hAnsi="Arial"/>
                <w:sz w:val="18"/>
                <w:szCs w:val="18"/>
                <w:color w:val="auto"/>
              </w:rPr>
              <w:t>Total current</w:t>
            </w: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49,987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56,309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18,983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48,618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2.15% secured loan</w:t>
      </w:r>
    </w:p>
    <w:p>
      <w:pPr>
        <w:spacing w:after="0" w:line="121"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The loan is secured by a lien over land and buildings with a carrying value of k€10,000 (2017: nil). Additionally, the loan is secured by a permanent guarantee (</w:t>
      </w:r>
      <w:r>
        <w:rPr>
          <w:rFonts w:ascii="Arial" w:cs="Arial" w:eastAsia="Arial" w:hAnsi="Arial"/>
          <w:sz w:val="16"/>
          <w:szCs w:val="16"/>
          <w:i w:val="1"/>
          <w:iCs w:val="1"/>
          <w:color w:val="auto"/>
        </w:rPr>
        <w:t>Höchstbetragsbürgschaft</w:t>
      </w:r>
      <w:r>
        <w:rPr>
          <w:rFonts w:ascii="Arial" w:cs="Arial" w:eastAsia="Arial" w:hAnsi="Arial"/>
          <w:sz w:val="16"/>
          <w:szCs w:val="16"/>
          <w:color w:val="auto"/>
        </w:rPr>
        <w:t>) of the Company to the bank to the amount of k€10,000. The loan is repayable in equal quarterly instalments of k€312.5 commencing on March 31, 2020. As at December 31, 2018, the undrawn available amount is k€6,000.</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240" w:top="459" w:right="61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2.08% bank loan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loan is secured by a lien over land and buildings to the amount of k€9,450. Additionally, the loan is secured by a permanent guarantee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Höchstbetragbürgschaft</w:t>
      </w:r>
      <w:r>
        <w:rPr>
          <w:rFonts w:ascii="Arial" w:cs="Arial" w:eastAsia="Arial" w:hAnsi="Arial"/>
          <w:sz w:val="16"/>
          <w:szCs w:val="16"/>
          <w:color w:val="auto"/>
        </w:rPr>
        <w:t>) of the Company to the bank to the amount of k€9,450 (2017: nil). The loan is repayable by quarterly instalments of k€286.4</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commencing on September 30, 2020. As at December 31, 2018, the available undrawn amount of k€7,850 will be drawn on predetermined dates.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loan will be fully drawn at January 15, 2020.</w:t>
      </w:r>
    </w:p>
    <w:p>
      <w:pPr>
        <w:spacing w:after="0" w:line="35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Fair values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Fair values of cash and cash equivalents, trade receivables, trade payables and other current liabilities approximate their carrying amounts largely due to the short-term maturities of these instruments.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liabilities include two fixed-interest rate loans. The fair value of the two fixed-interest rate loans is calculated based on significant observable inputs (Level 2). As of December 31, 2018, the carrying value approximates their fair values as they were agreed only recently and there have been no significant changes in relevant interest rates.</w:t>
      </w:r>
    </w:p>
    <w:p>
      <w:pPr>
        <w:spacing w:after="0" w:line="32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Financial instruments risk management objectives and policies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Group’s financial liabilities comprise of bank loans, lease liabilities, trade and other payables. The main purpose of these financial liabilities is to enable the Group’s operations. The Group’s principal financial assets include mainly cash and trade receivables that derive directly from its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Group is exposed to market risk, credit risk and liquidity risk. The Group’s senior management oversees the management of these risks.</w:t>
      </w:r>
    </w:p>
    <w:p>
      <w:pPr>
        <w:spacing w:after="0" w:line="237" w:lineRule="exact"/>
        <w:rPr>
          <w:sz w:val="20"/>
          <w:szCs w:val="20"/>
          <w:color w:val="auto"/>
        </w:rPr>
      </w:pPr>
    </w:p>
    <w:p>
      <w:pPr>
        <w:ind w:left="200" w:right="480" w:firstLine="441"/>
        <w:spacing w:after="0" w:line="312" w:lineRule="auto"/>
        <w:rPr>
          <w:sz w:val="20"/>
          <w:szCs w:val="20"/>
          <w:color w:val="auto"/>
        </w:rPr>
      </w:pPr>
      <w:r>
        <w:rPr>
          <w:rFonts w:ascii="Arial" w:cs="Arial" w:eastAsia="Arial" w:hAnsi="Arial"/>
          <w:sz w:val="16"/>
          <w:szCs w:val="16"/>
          <w:color w:val="auto"/>
        </w:rPr>
        <w:t>The controlling committee provides assurance to the Group’s senior management that the Group’s financial risk activities are governed by appropriate policies and procedures and that financial risks are identified, measured and managed in accordance with the Group’s policies and risk objectives. The Board of Directors reviews and agrees policies for managing each of these risks, which are summarized below.</w:t>
      </w:r>
    </w:p>
    <w:p>
      <w:pPr>
        <w:spacing w:after="0" w:line="29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b w:val="1"/>
          <w:bCs w:val="1"/>
          <w:color w:val="auto"/>
        </w:rPr>
        <w:t>Market risk</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Market risk is the risk that the fair value or future cash flows of a financial instrument will fluctuate due to changes in market prices. Market risk comprises of three types of risk: interest risk, foreign currency risk and other price risk. Financial instruments affected by market risk include cash and cash equivalents. Interest risk is not a risk for the Group.</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sensitivity analysis in the following sections relate to the position as at December 31, 2018 and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There were no material changes in the Group’s market risk exposures or changes in the way risk was managed and valued during the periods.</w:t>
      </w:r>
    </w:p>
    <w:p>
      <w:pPr>
        <w:spacing w:after="0" w:line="39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11.5.1</w:t>
      </w:r>
      <w:r>
        <w:rPr>
          <w:sz w:val="20"/>
          <w:szCs w:val="20"/>
          <w:color w:val="auto"/>
        </w:rPr>
        <w:tab/>
      </w:r>
      <w:r>
        <w:rPr>
          <w:rFonts w:ascii="Arial" w:cs="Arial" w:eastAsia="Arial" w:hAnsi="Arial"/>
          <w:sz w:val="16"/>
          <w:szCs w:val="16"/>
          <w:b w:val="1"/>
          <w:bCs w:val="1"/>
          <w:color w:val="auto"/>
        </w:rPr>
        <w:t>Foreign currency risk</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The Group’s exposure to the risk of changes in foreign currency rates relates primarily to the Group’s operating activities (when revenue or expense is denominated in a foreign currency).</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order to reduce exchange rate risk, BioNTech makes every effort to generate expenses and income in the same functional currency. The Group does not hedge exchange rate risks.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20"/>
          </w:cols>
          <w:pgMar w:left="240" w:top="459" w:right="43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carrying amount of the monetary assets (the Group’s cash and cash equivalents) of BioNTech denominated in foreign currencies at the reporting date are as follows: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9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500" w:type="dxa"/>
            <w:vAlign w:val="bottom"/>
          </w:tcPr>
          <w:p>
            <w:pPr>
              <w:spacing w:after="0"/>
              <w:rPr>
                <w:sz w:val="14"/>
                <w:szCs w:val="14"/>
                <w:color w:val="auto"/>
              </w:rPr>
            </w:pPr>
          </w:p>
        </w:tc>
        <w:tc>
          <w:tcPr>
            <w:tcW w:w="192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29"/>
        </w:trPr>
        <w:tc>
          <w:tcPr>
            <w:tcW w:w="396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68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2018</w:t>
            </w:r>
          </w:p>
        </w:tc>
        <w:tc>
          <w:tcPr>
            <w:tcW w:w="1180" w:type="dxa"/>
            <w:vAlign w:val="bottom"/>
            <w:tcBorders>
              <w:top w:val="single" w:sz="8" w:color="auto"/>
            </w:tcBorders>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USD Bank accounts</w:t>
            </w:r>
          </w:p>
        </w:tc>
        <w:tc>
          <w:tcPr>
            <w:tcW w:w="25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0"/>
              </w:rPr>
              <w:t>€176,376</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7"/>
              </w:rPr>
              <w:t>€ 140,822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following tables demonstrate the sensitivity to a reasonably possible change in USD exchange rates, with all other variables held constant. The impact on the Group’s profit before tax is due to changes in the fair value of monetary assets. The Group’s exposure to foreign currency changes for all other currencies is not material.</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Closing rate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As at</w:t>
            </w:r>
          </w:p>
        </w:tc>
        <w:tc>
          <w:tcPr>
            <w:tcW w:w="1500" w:type="dxa"/>
            <w:vAlign w:val="bottom"/>
            <w:gridSpan w:val="6"/>
          </w:tcPr>
          <w:p>
            <w:pPr>
              <w:ind w:left="32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23"/>
        </w:trPr>
        <w:tc>
          <w:tcPr>
            <w:tcW w:w="58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Currency</w:t>
            </w:r>
          </w:p>
        </w:tc>
        <w:tc>
          <w:tcPr>
            <w:tcW w:w="180" w:type="dxa"/>
            <w:vAlign w:val="bottom"/>
            <w:vMerge w:val="restart"/>
          </w:tcPr>
          <w:p>
            <w:pPr>
              <w:spacing w:after="0" w:line="20" w:lineRule="exact"/>
              <w:rPr>
                <w:sz w:val="1"/>
                <w:szCs w:val="1"/>
                <w:color w:val="auto"/>
              </w:rPr>
            </w:pPr>
          </w:p>
        </w:tc>
        <w:tc>
          <w:tcPr>
            <w:tcW w:w="110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i w:val="1"/>
                <w:iCs w:val="1"/>
                <w:color w:val="auto"/>
              </w:rPr>
              <w:t>1 € =</w:t>
            </w: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January 1,</w:t>
            </w: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5840" w:type="dxa"/>
            <w:vAlign w:val="bottom"/>
            <w:gridSpan w:val="5"/>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6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584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Country</w:t>
            </w:r>
          </w:p>
        </w:tc>
        <w:tc>
          <w:tcPr>
            <w:tcW w:w="60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2017</w:t>
            </w: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USD</w:t>
            </w:r>
          </w:p>
        </w:tc>
        <w:tc>
          <w:tcPr>
            <w:tcW w:w="5240" w:type="dxa"/>
            <w:vAlign w:val="bottom"/>
            <w:tcBorders>
              <w:top w:val="single" w:sz="8" w:color="CCEEFF"/>
            </w:tcBorders>
            <w:gridSpan w:val="3"/>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United States</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1.1450</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1.1993</w:t>
            </w:r>
          </w:p>
        </w:tc>
        <w:tc>
          <w:tcPr>
            <w:tcW w:w="1040" w:type="dxa"/>
            <w:vAlign w:val="bottom"/>
            <w:tcBorders>
              <w:top w:val="single" w:sz="8" w:color="CCEEFF"/>
            </w:tcBorders>
            <w:gridSpan w:val="2"/>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1.1194</w:t>
            </w:r>
          </w:p>
        </w:tc>
        <w:tc>
          <w:tcPr>
            <w:tcW w:w="6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1.1810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1.1297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40" w:type="dxa"/>
            <w:vAlign w:val="bottom"/>
            <w:gridSpan w:val="3"/>
            <w:vMerge w:val="restart"/>
          </w:tcPr>
          <w:p>
            <w:pPr>
              <w:ind w:left="280"/>
              <w:spacing w:after="0"/>
              <w:rPr>
                <w:sz w:val="20"/>
                <w:szCs w:val="20"/>
                <w:color w:val="auto"/>
              </w:rPr>
            </w:pPr>
            <w:r>
              <w:rPr>
                <w:rFonts w:ascii="Arial" w:cs="Arial" w:eastAsia="Arial" w:hAnsi="Arial"/>
                <w:sz w:val="14"/>
                <w:szCs w:val="14"/>
                <w:i w:val="1"/>
                <w:iCs w:val="1"/>
                <w:color w:val="auto"/>
              </w:rPr>
              <w:t xml:space="preserve">In </w:t>
            </w:r>
            <w:r>
              <w:rPr>
                <w:rFonts w:ascii="Arial" w:cs="Arial" w:eastAsia="Arial" w:hAnsi="Arial"/>
                <w:sz w:val="14"/>
                <w:szCs w:val="14"/>
                <w:i w:val="1"/>
                <w:iCs w:val="1"/>
                <w:u w:val="single" w:color="auto"/>
                <w:color w:val="auto"/>
              </w:rPr>
              <w:t>k</w:t>
            </w:r>
            <w:r>
              <w:rPr>
                <w:rFonts w:ascii="Arial" w:cs="Arial" w:eastAsia="Arial" w:hAnsi="Arial"/>
                <w:sz w:val="14"/>
                <w:szCs w:val="14"/>
                <w:i w:val="1"/>
                <w:iCs w:val="1"/>
                <w:color w:val="auto"/>
              </w:rPr>
              <w:t>€</w:t>
            </w:r>
          </w:p>
        </w:tc>
        <w:tc>
          <w:tcPr>
            <w:tcW w:w="180" w:type="dxa"/>
            <w:vAlign w:val="bottom"/>
          </w:tcPr>
          <w:p>
            <w:pPr>
              <w:spacing w:after="0"/>
              <w:rPr>
                <w:sz w:val="24"/>
                <w:szCs w:val="2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Change in</w:t>
            </w:r>
          </w:p>
        </w:tc>
        <w:tc>
          <w:tcPr>
            <w:tcW w:w="340" w:type="dxa"/>
            <w:vAlign w:val="bottom"/>
          </w:tcPr>
          <w:p>
            <w:pPr>
              <w:spacing w:after="0"/>
              <w:rPr>
                <w:sz w:val="24"/>
                <w:szCs w:val="24"/>
                <w:color w:val="auto"/>
              </w:rPr>
            </w:pPr>
          </w:p>
        </w:tc>
        <w:tc>
          <w:tcPr>
            <w:tcW w:w="10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Effect on</w:t>
            </w:r>
          </w:p>
        </w:tc>
        <w:tc>
          <w:tcPr>
            <w:tcW w:w="660" w:type="dxa"/>
            <w:vAlign w:val="bottom"/>
          </w:tcPr>
          <w:p>
            <w:pPr>
              <w:spacing w:after="0"/>
              <w:rPr>
                <w:sz w:val="24"/>
                <w:szCs w:val="24"/>
                <w:color w:val="auto"/>
              </w:rPr>
            </w:pPr>
          </w:p>
        </w:tc>
        <w:tc>
          <w:tcPr>
            <w:tcW w:w="11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Effect on</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USD rate</w:t>
            </w:r>
          </w:p>
        </w:tc>
        <w:tc>
          <w:tcPr>
            <w:tcW w:w="340" w:type="dxa"/>
            <w:vAlign w:val="bottom"/>
          </w:tcPr>
          <w:p>
            <w:pPr>
              <w:spacing w:after="0"/>
              <w:rPr>
                <w:sz w:val="14"/>
                <w:szCs w:val="14"/>
                <w:color w:val="auto"/>
              </w:rPr>
            </w:pPr>
          </w:p>
        </w:tc>
        <w:tc>
          <w:tcPr>
            <w:tcW w:w="1040" w:type="dxa"/>
            <w:vAlign w:val="bottom"/>
            <w:gridSpan w:val="5"/>
          </w:tcPr>
          <w:p>
            <w:pPr>
              <w:jc w:val="right"/>
              <w:ind w:right="160"/>
              <w:spacing w:after="0" w:line="158" w:lineRule="exact"/>
              <w:rPr>
                <w:sz w:val="20"/>
                <w:szCs w:val="20"/>
                <w:color w:val="auto"/>
              </w:rPr>
            </w:pPr>
            <w:r>
              <w:rPr>
                <w:rFonts w:ascii="Arial" w:cs="Arial" w:eastAsia="Arial" w:hAnsi="Arial"/>
                <w:sz w:val="14"/>
                <w:szCs w:val="14"/>
                <w:b w:val="1"/>
                <w:bCs w:val="1"/>
                <w:color w:val="auto"/>
                <w:w w:val="86"/>
              </w:rPr>
              <w:t>loss before tax</w:t>
            </w:r>
          </w:p>
        </w:tc>
        <w:tc>
          <w:tcPr>
            <w:tcW w:w="660" w:type="dxa"/>
            <w:vAlign w:val="bottom"/>
          </w:tcPr>
          <w:p>
            <w:pPr>
              <w:spacing w:after="0"/>
              <w:rPr>
                <w:sz w:val="14"/>
                <w:szCs w:val="14"/>
                <w:color w:val="auto"/>
              </w:rPr>
            </w:pPr>
          </w:p>
        </w:tc>
        <w:tc>
          <w:tcPr>
            <w:tcW w:w="1160" w:type="dxa"/>
            <w:vAlign w:val="bottom"/>
            <w:gridSpan w:val="5"/>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pre-tax equity</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(8,399)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9,283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(6,706)</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(6,706)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7,412</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b w:val="1"/>
          <w:bCs w:val="1"/>
          <w:color w:val="auto"/>
        </w:rPr>
        <w:t>Credit risk management</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Credit risk is the risk that a counterparty will not meet its obligations under a financial instrument or customer contract, leading to a financial loss. The Group is exposed to credit risk from its operating activities, including deposits with banks and financial institutions, foreign exchange transactions and trade accounts receivable.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 receivables and contract assets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Group’s exposure to credit risk of trade receivables and contract assets is primarily on transactions with corporate customers in the biopharma/biotech industry that operate in Germany or in the United States. The Group evaluates this risk through detailed aging analysis and also detailed analysis of the creditworthiness of the customers at each reporting date. The Group follows risk control procedures to assess the credit quality of the customers taking into account their financial position, past experience and other factors. The compliance with credit limits by corporate customers is regularly monitored by management.</w:t>
      </w:r>
    </w:p>
    <w:p>
      <w:pPr>
        <w:spacing w:after="0" w:line="18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credit risk on trade receivables and contract assets is very low as the customer portfolio of BioNTech mainly consists of medical universities, other public institutions and peers in the biopharma industry, which all have a very high credit rating and the group has not incurred bad debt expense. BioNTech does not expect that its customer portfolio will change.</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Generally, trade receivables are written off if past due for more than one year and are not subject to enforcement activity. The maximum exposure to credit risk at the reporting date is the carrying value of each class of financial assets disclosed in Note 11.2. The Group does not hold collateral as security.</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59" w:right="41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credit risk exposure on the Group’s trade receivables and contract assets is as follows: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 ended December 31, 2018</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100" w:type="dxa"/>
            <w:vAlign w:val="bottom"/>
            <w:gridSpan w:val="3"/>
            <w:vMerge w:val="restart"/>
          </w:tcPr>
          <w:p>
            <w:pPr>
              <w:ind w:left="1320"/>
              <w:spacing w:after="0"/>
              <w:rPr>
                <w:sz w:val="20"/>
                <w:szCs w:val="20"/>
                <w:color w:val="auto"/>
              </w:rPr>
            </w:pPr>
            <w:r>
              <w:rPr>
                <w:rFonts w:ascii="Arial" w:cs="Arial" w:eastAsia="Arial" w:hAnsi="Arial"/>
                <w:sz w:val="14"/>
                <w:szCs w:val="14"/>
                <w:color w:val="auto"/>
              </w:rPr>
              <w:t>(in thousands)</w:t>
            </w:r>
          </w:p>
        </w:tc>
        <w:tc>
          <w:tcPr>
            <w:tcW w:w="2360" w:type="dxa"/>
            <w:vAlign w:val="bottom"/>
            <w:gridSpan w:val="4"/>
          </w:tcPr>
          <w:p>
            <w:pPr>
              <w:ind w:left="1300"/>
              <w:spacing w:after="0"/>
              <w:rPr>
                <w:sz w:val="20"/>
                <w:szCs w:val="20"/>
                <w:color w:val="auto"/>
              </w:rPr>
            </w:pPr>
            <w:r>
              <w:rPr>
                <w:rFonts w:ascii="Arial" w:cs="Arial" w:eastAsia="Arial" w:hAnsi="Arial"/>
                <w:sz w:val="14"/>
                <w:szCs w:val="14"/>
                <w:b w:val="1"/>
                <w:bCs w:val="1"/>
                <w:color w:val="auto"/>
              </w:rPr>
              <w:t>Contract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9"/>
              </w:rPr>
              <w:t>Trade</w:t>
            </w: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assets</w:t>
            </w:r>
          </w:p>
        </w:tc>
        <w:tc>
          <w:tcPr>
            <w:tcW w:w="124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credit loss rate</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w w:val="74"/>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Estimated total gross carrying amount at default</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2017</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100" w:type="dxa"/>
            <w:vAlign w:val="bottom"/>
            <w:gridSpan w:val="3"/>
            <w:vMerge w:val="restart"/>
          </w:tcPr>
          <w:p>
            <w:pPr>
              <w:ind w:left="1320"/>
              <w:spacing w:after="0"/>
              <w:rPr>
                <w:sz w:val="20"/>
                <w:szCs w:val="20"/>
                <w:color w:val="auto"/>
              </w:rPr>
            </w:pPr>
            <w:r>
              <w:rPr>
                <w:rFonts w:ascii="Arial" w:cs="Arial" w:eastAsia="Arial" w:hAnsi="Arial"/>
                <w:sz w:val="14"/>
                <w:szCs w:val="14"/>
                <w:color w:val="auto"/>
              </w:rPr>
              <w:t>(in thousands)</w:t>
            </w:r>
          </w:p>
        </w:tc>
        <w:tc>
          <w:tcPr>
            <w:tcW w:w="2360" w:type="dxa"/>
            <w:vAlign w:val="bottom"/>
            <w:gridSpan w:val="4"/>
          </w:tcPr>
          <w:p>
            <w:pPr>
              <w:ind w:left="1300"/>
              <w:spacing w:after="0"/>
              <w:rPr>
                <w:sz w:val="20"/>
                <w:szCs w:val="20"/>
                <w:color w:val="auto"/>
              </w:rPr>
            </w:pPr>
            <w:r>
              <w:rPr>
                <w:rFonts w:ascii="Arial" w:cs="Arial" w:eastAsia="Arial" w:hAnsi="Arial"/>
                <w:sz w:val="14"/>
                <w:szCs w:val="14"/>
                <w:b w:val="1"/>
                <w:bCs w:val="1"/>
                <w:color w:val="auto"/>
              </w:rPr>
              <w:t>Contract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9"/>
              </w:rPr>
              <w:t>Trade</w:t>
            </w: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assets</w:t>
            </w:r>
          </w:p>
        </w:tc>
        <w:tc>
          <w:tcPr>
            <w:tcW w:w="124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credit loss rate</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w w:val="74"/>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Estimated total gross carrying amount at default</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As at January 1, 2017</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100" w:type="dxa"/>
            <w:vAlign w:val="bottom"/>
            <w:gridSpan w:val="3"/>
            <w:vMerge w:val="restart"/>
          </w:tcPr>
          <w:p>
            <w:pPr>
              <w:ind w:left="1320"/>
              <w:spacing w:after="0"/>
              <w:rPr>
                <w:sz w:val="20"/>
                <w:szCs w:val="20"/>
                <w:color w:val="auto"/>
              </w:rPr>
            </w:pPr>
            <w:r>
              <w:rPr>
                <w:rFonts w:ascii="Arial" w:cs="Arial" w:eastAsia="Arial" w:hAnsi="Arial"/>
                <w:sz w:val="14"/>
                <w:szCs w:val="14"/>
                <w:color w:val="auto"/>
              </w:rPr>
              <w:t>(in thousands)</w:t>
            </w:r>
          </w:p>
        </w:tc>
        <w:tc>
          <w:tcPr>
            <w:tcW w:w="2360" w:type="dxa"/>
            <w:vAlign w:val="bottom"/>
            <w:gridSpan w:val="4"/>
          </w:tcPr>
          <w:p>
            <w:pPr>
              <w:ind w:left="1300"/>
              <w:spacing w:after="0"/>
              <w:rPr>
                <w:sz w:val="20"/>
                <w:szCs w:val="20"/>
                <w:color w:val="auto"/>
              </w:rPr>
            </w:pPr>
            <w:r>
              <w:rPr>
                <w:rFonts w:ascii="Arial" w:cs="Arial" w:eastAsia="Arial" w:hAnsi="Arial"/>
                <w:sz w:val="14"/>
                <w:szCs w:val="14"/>
                <w:b w:val="1"/>
                <w:bCs w:val="1"/>
                <w:color w:val="auto"/>
              </w:rPr>
              <w:t>Contract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9"/>
              </w:rPr>
              <w:t>Trade</w:t>
            </w: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assets</w:t>
            </w:r>
          </w:p>
        </w:tc>
        <w:tc>
          <w:tcPr>
            <w:tcW w:w="1240" w:type="dxa"/>
            <w:vAlign w:val="bottom"/>
            <w:gridSpan w:val="4"/>
          </w:tcPr>
          <w:p>
            <w:pPr>
              <w:ind w:left="360"/>
              <w:spacing w:after="0" w:line="158" w:lineRule="exact"/>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Expected credit loss rate</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w w:val="74"/>
              </w:rPr>
              <w: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Estimated total gross carrying amount at default</w:t>
            </w: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637</w:t>
            </w:r>
          </w:p>
        </w:tc>
        <w:tc>
          <w:tcPr>
            <w:tcW w:w="50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credit loss</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deposits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Credit risk from balances with banks and financial institutions is managed by the Group’s controlling department in accordance with the Group’s policy. Investments of surplus funds are made only with banks.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Credit risk stemming from cash and deposits is very low.</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Group’s maximum exposure to credit risk for the components of the statements of financial position at December 31, 2018 and 2017 are the carrying amounts as illustrated in Note 11.1.</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color w:val="auto"/>
        </w:rPr>
        <w:t>Liquidity risk</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Historically, BioNTech has relied on the financing from shareholders and collaborators in order to ensure sufficient liquidity. Lack of external financial support could pose a risk of going concern. The liquidity management of BioNTech ensures the availability of cash and cash equivalents for operational activities and further investments through appropriate budget planning. In addition, a sufficient level of cash and cash equivalents, which is managed centrally, is always maintained to finance the operational activities.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monitors liquidity risks using a liquidity planning tool.</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Ultimately, the responsibility for liquidity risk management lies with the management, which has established an appropriate approach to managing short-, medium- and long-term financing and liquidity requirements. BioNTech manages liquidity risks by holding appropriate reserves, as well as by monitoring forecasted and actual cash flows and reconciling the maturity profiles of financial assets and liabilities.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concentration</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geographical region, or have economic features that would cause their ability to meet contractual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00"/>
          </w:cols>
          <w:pgMar w:left="240" w:top="459" w:right="45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obligations to be similarly affected by changes in economic, political or other conditions. Concentrations indicate the relative sensitivity of the Group’s performance to developments affecting a particular industry.</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order to avoid concentrations of risk, the Group’s policies and procedures include specific guidelines to focus on the maintenance of an effective diversification in the sources of funding and distribution of cash deposits. Identified concentrations of credit risks are controlled and managed accordingly.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maturity profile of the Group’s financial liabilities based on contractual undiscounted payments is summarized as follows:</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9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Less than</w:t>
            </w:r>
          </w:p>
        </w:tc>
        <w:tc>
          <w:tcPr>
            <w:tcW w:w="400" w:type="dxa"/>
            <w:vAlign w:val="bottom"/>
          </w:tcPr>
          <w:p>
            <w:pPr>
              <w:spacing w:after="0"/>
              <w:rPr>
                <w:sz w:val="14"/>
                <w:szCs w:val="14"/>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88"/>
              </w:rPr>
              <w:t>1 to 5 years</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&gt; 5 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1 year</w:t>
            </w:r>
          </w:p>
        </w:tc>
        <w:tc>
          <w:tcPr>
            <w:tcW w:w="40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Interest bearing loans and borrowings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w w:val="84"/>
              </w:rPr>
              <w:t>5,600</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5,600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Trade payables</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41,721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41,721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13,346</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56,524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73,692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Other financial liabilities</w:t>
            </w:r>
          </w:p>
        </w:tc>
        <w:tc>
          <w:tcPr>
            <w:tcW w:w="160" w:type="dxa"/>
            <w:vAlign w:val="bottom"/>
            <w:gridSpan w:val="3"/>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6,132</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51,675</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13,346</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56,524</w:t>
            </w:r>
          </w:p>
        </w:tc>
        <w:tc>
          <w:tcPr>
            <w:tcW w:w="11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127,145</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Less than</w:t>
            </w:r>
          </w:p>
        </w:tc>
        <w:tc>
          <w:tcPr>
            <w:tcW w:w="400" w:type="dxa"/>
            <w:vAlign w:val="bottom"/>
          </w:tcPr>
          <w:p>
            <w:pPr>
              <w:spacing w:after="0"/>
              <w:rPr>
                <w:sz w:val="24"/>
                <w:szCs w:val="24"/>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88"/>
              </w:rPr>
              <w:t>1 to 5 years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&gt; 5 years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1 year</w:t>
            </w:r>
          </w:p>
        </w:tc>
        <w:tc>
          <w:tcPr>
            <w:tcW w:w="40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Trade payables</w:t>
            </w: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52,538</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52,538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Lease liability</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3,552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0"/>
              </w:rPr>
              <w:t>13,743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59,263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76,558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58,029</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13,743</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59,263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131,035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at January 1, 2017</w:t>
            </w: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80" w:type="dxa"/>
            <w:vAlign w:val="bottom"/>
            <w:gridSpan w:val="3"/>
            <w:vMerge w:val="continue"/>
          </w:tcPr>
          <w:p>
            <w:pPr>
              <w:spacing w:after="0"/>
              <w:rPr>
                <w:sz w:val="24"/>
                <w:szCs w:val="24"/>
                <w:color w:val="auto"/>
              </w:rPr>
            </w:pPr>
          </w:p>
        </w:tc>
        <w:tc>
          <w:tcPr>
            <w:tcW w:w="7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5"/>
              </w:rPr>
              <w:t>Less than</w:t>
            </w:r>
          </w:p>
        </w:tc>
        <w:tc>
          <w:tcPr>
            <w:tcW w:w="116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1 to 5 years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&gt; 5 years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7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1 year</w:t>
            </w:r>
          </w:p>
        </w:tc>
        <w:tc>
          <w:tcPr>
            <w:tcW w:w="116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Trade payables</w:t>
            </w:r>
          </w:p>
        </w:tc>
        <w:tc>
          <w:tcPr>
            <w:tcW w:w="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6,218</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center"/>
              <w:ind w:left="3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Lease liability</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2,392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8,193</w:t>
            </w:r>
          </w:p>
        </w:tc>
        <w:tc>
          <w:tcPr>
            <w:tcW w:w="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32,606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43,191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financial liabilities</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19,911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8,193</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32,606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60,701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Changes in liabilities arising from financing activities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BioNTech uses leases to acquire the right to use assets for a specified amount of time. Due to the first-time adoption of IFRS 16, lease liabilities at an amount of k€28,132 were recognized as of January 1, 2017. The liability arising from leases amounts to k€52,182 as of December 31, 2017 and 50,775 as of December 31, 2018.</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Year ended December 31, 2018</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u w:val="single" w:color="auto"/>
          <w:color w:val="auto"/>
        </w:rPr>
        <w:t>(in thousands)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Current obligations under lease contracts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Non-current obligations under lease contracts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Interest-bearing loans and borrowings</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Year ended December 31, 2017</w:t>
      </w:r>
    </w:p>
    <w:p>
      <w:pPr>
        <w:ind w:left="200"/>
        <w:spacing w:after="0" w:line="236" w:lineRule="auto"/>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January 1,</w:t>
            </w:r>
          </w:p>
        </w:tc>
        <w:tc>
          <w:tcPr>
            <w:tcW w:w="4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Cash</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New</w:t>
            </w:r>
          </w:p>
        </w:tc>
        <w:tc>
          <w:tcPr>
            <w:tcW w:w="166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Reclassification</w:t>
            </w:r>
          </w:p>
        </w:tc>
        <w:tc>
          <w:tcPr>
            <w:tcW w:w="10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flows</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Leases</w:t>
            </w:r>
          </w:p>
        </w:tc>
        <w:tc>
          <w:tcPr>
            <w:tcW w:w="16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5"/>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1,832</w:t>
            </w:r>
          </w:p>
        </w:tc>
        <w:tc>
          <w:tcPr>
            <w:tcW w:w="42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(2,126)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296</w:t>
            </w:r>
          </w:p>
        </w:tc>
        <w:tc>
          <w:tcPr>
            <w:tcW w:w="4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2,132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50,349</w:t>
            </w:r>
          </w:p>
        </w:tc>
        <w:tc>
          <w:tcPr>
            <w:tcW w:w="42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48,618</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5,600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52,182</w:t>
            </w:r>
          </w:p>
        </w:tc>
        <w:tc>
          <w:tcPr>
            <w:tcW w:w="4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€ 697</w:t>
            </w: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56,352</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92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2"/>
              </w:rPr>
              <w:t>January 1,</w:t>
            </w:r>
          </w:p>
        </w:tc>
        <w:tc>
          <w:tcPr>
            <w:tcW w:w="1160" w:type="dxa"/>
            <w:vAlign w:val="bottom"/>
            <w:gridSpan w:val="3"/>
          </w:tcPr>
          <w:p>
            <w:pPr>
              <w:ind w:left="300"/>
              <w:spacing w:after="0"/>
              <w:rPr>
                <w:sz w:val="20"/>
                <w:szCs w:val="20"/>
                <w:color w:val="auto"/>
              </w:rPr>
            </w:pPr>
            <w:r>
              <w:rPr>
                <w:rFonts w:ascii="Arial" w:cs="Arial" w:eastAsia="Arial" w:hAnsi="Arial"/>
                <w:sz w:val="14"/>
                <w:szCs w:val="14"/>
                <w:b w:val="1"/>
                <w:bCs w:val="1"/>
                <w:color w:val="auto"/>
              </w:rPr>
              <w:t>Cash</w:t>
            </w:r>
          </w:p>
        </w:tc>
        <w:tc>
          <w:tcPr>
            <w:tcW w:w="6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New</w:t>
            </w:r>
          </w:p>
        </w:tc>
        <w:tc>
          <w:tcPr>
            <w:tcW w:w="16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Reclassification</w:t>
            </w:r>
          </w:p>
        </w:tc>
        <w:tc>
          <w:tcPr>
            <w:tcW w:w="106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8"/>
        </w:trPr>
        <w:tc>
          <w:tcPr>
            <w:tcW w:w="920" w:type="dxa"/>
            <w:vAlign w:val="bottom"/>
            <w:gridSpan w:val="4"/>
          </w:tcPr>
          <w:p>
            <w:pPr>
              <w:jc w:val="right"/>
              <w:ind w:right="354"/>
              <w:spacing w:after="0" w:line="158"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3"/>
          </w:tcPr>
          <w:p>
            <w:pPr>
              <w:ind w:left="300"/>
              <w:spacing w:after="0" w:line="158" w:lineRule="exact"/>
              <w:rPr>
                <w:sz w:val="20"/>
                <w:szCs w:val="20"/>
                <w:color w:val="auto"/>
              </w:rPr>
            </w:pPr>
            <w:r>
              <w:rPr>
                <w:rFonts w:ascii="Arial" w:cs="Arial" w:eastAsia="Arial" w:hAnsi="Arial"/>
                <w:sz w:val="14"/>
                <w:szCs w:val="14"/>
                <w:b w:val="1"/>
                <w:bCs w:val="1"/>
                <w:color w:val="auto"/>
              </w:rPr>
              <w:t>flows</w:t>
            </w:r>
          </w:p>
        </w:tc>
        <w:tc>
          <w:tcPr>
            <w:tcW w:w="680" w:type="dxa"/>
            <w:vAlign w:val="bottom"/>
            <w:gridSpan w:val="2"/>
          </w:tcPr>
          <w:p>
            <w:pPr>
              <w:jc w:val="right"/>
              <w:ind w:right="34"/>
              <w:spacing w:after="0" w:line="158" w:lineRule="exact"/>
              <w:rPr>
                <w:sz w:val="20"/>
                <w:szCs w:val="20"/>
                <w:color w:val="auto"/>
              </w:rPr>
            </w:pPr>
            <w:r>
              <w:rPr>
                <w:rFonts w:ascii="Arial" w:cs="Arial" w:eastAsia="Arial" w:hAnsi="Arial"/>
                <w:sz w:val="14"/>
                <w:szCs w:val="14"/>
                <w:b w:val="1"/>
                <w:bCs w:val="1"/>
                <w:color w:val="auto"/>
              </w:rPr>
              <w:t>Leases</w:t>
            </w:r>
          </w:p>
        </w:tc>
        <w:tc>
          <w:tcPr>
            <w:tcW w:w="166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-951230</wp:posOffset>
            </wp:positionV>
            <wp:extent cx="6997700" cy="146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-668020</wp:posOffset>
            </wp:positionV>
            <wp:extent cx="699770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80" w:space="720"/>
            <w:col w:w="554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Current obligations under lease contracts</w:t>
            </w:r>
          </w:p>
        </w:tc>
        <w:tc>
          <w:tcPr>
            <w:tcW w:w="1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1,464</w:t>
            </w: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94"/>
              </w:rPr>
              <w:t>(2,319)</w:t>
            </w: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2,687</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1,832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Non-current obligations under lease contracts</w:t>
            </w: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26,669</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25,692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€ 28,132</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(1,643)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25,692</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gridSpan w:val="2"/>
          </w:tcPr>
          <w:p>
            <w:pPr>
              <w:jc w:val="right"/>
              <w:ind w:right="390"/>
              <w:spacing w:after="0"/>
              <w:rPr>
                <w:sz w:val="20"/>
                <w:szCs w:val="20"/>
                <w:color w:val="auto"/>
              </w:rPr>
            </w:pPr>
            <w:r>
              <w:rPr>
                <w:rFonts w:ascii="Arial" w:cs="Arial" w:eastAsia="Arial" w:hAnsi="Arial"/>
                <w:sz w:val="18"/>
                <w:szCs w:val="18"/>
                <w:color w:val="auto"/>
              </w:rPr>
              <w:t>F-59</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12</w:t>
            </w:r>
          </w:p>
        </w:tc>
        <w:tc>
          <w:tcPr>
            <w:tcW w:w="5860" w:type="dxa"/>
            <w:vAlign w:val="bottom"/>
            <w:gridSpan w:val="3"/>
          </w:tcPr>
          <w:p>
            <w:pPr>
              <w:ind w:left="30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80" w:type="dxa"/>
            <w:vAlign w:val="bottom"/>
          </w:tcPr>
          <w:p>
            <w:pPr>
              <w:spacing w:after="0"/>
              <w:rPr>
                <w:sz w:val="24"/>
                <w:szCs w:val="24"/>
                <w:color w:val="auto"/>
              </w:rPr>
            </w:pPr>
          </w:p>
        </w:tc>
        <w:tc>
          <w:tcPr>
            <w:tcW w:w="40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620" w:type="dxa"/>
            <w:vAlign w:val="bottom"/>
            <w:vMerge w:val="restart"/>
          </w:tcPr>
          <w:p>
            <w:pPr>
              <w:spacing w:after="0"/>
              <w:rPr>
                <w:sz w:val="24"/>
                <w:szCs w:val="2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Raw materials and supplies</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4,475</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2,874</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Unfinished goods and services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 and services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586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 inventories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5,789</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3,876</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2018, inventories of k€5,382 (2017: k€7,448) were recognized as an expense and recognized in cost of sales.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BioNTech has not pledged any inventories as securities for liabilities.</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13</w:t>
            </w:r>
          </w:p>
        </w:tc>
        <w:tc>
          <w:tcPr>
            <w:tcW w:w="5840" w:type="dxa"/>
            <w:vAlign w:val="bottom"/>
            <w:gridSpan w:val="3"/>
          </w:tcPr>
          <w:p>
            <w:pPr>
              <w:ind w:left="300"/>
              <w:spacing w:after="0"/>
              <w:rPr>
                <w:sz w:val="20"/>
                <w:szCs w:val="20"/>
                <w:color w:val="auto"/>
              </w:rPr>
            </w:pPr>
            <w:r>
              <w:rPr>
                <w:rFonts w:ascii="Arial" w:cs="Arial" w:eastAsia="Arial" w:hAnsi="Arial"/>
                <w:sz w:val="18"/>
                <w:szCs w:val="18"/>
                <w:b w:val="1"/>
                <w:bCs w:val="1"/>
                <w:color w:val="auto"/>
              </w:rPr>
              <w:t>Trade receivables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80" w:type="dxa"/>
            <w:vAlign w:val="bottom"/>
          </w:tcPr>
          <w:p>
            <w:pPr>
              <w:spacing w:after="0"/>
              <w:rPr>
                <w:sz w:val="24"/>
                <w:szCs w:val="24"/>
                <w:color w:val="auto"/>
              </w:rPr>
            </w:pPr>
          </w:p>
        </w:tc>
        <w:tc>
          <w:tcPr>
            <w:tcW w:w="40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4600" w:type="dxa"/>
            <w:vAlign w:val="bottom"/>
            <w:vMerge w:val="restart"/>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w:t>
            </w:r>
          </w:p>
        </w:tc>
        <w:tc>
          <w:tcPr>
            <w:tcW w:w="70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line="158"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6"/>
              <w:spacing w:after="0" w:line="158" w:lineRule="exact"/>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15"/>
                <w:szCs w:val="15"/>
                <w:color w:val="auto"/>
              </w:rPr>
            </w:pPr>
          </w:p>
        </w:tc>
        <w:tc>
          <w:tcPr>
            <w:tcW w:w="66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 Receivables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18,938</w:t>
            </w: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4,575</w:t>
            </w:r>
          </w:p>
        </w:tc>
        <w:tc>
          <w:tcPr>
            <w:tcW w:w="7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584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18,938</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4,575</w:t>
            </w:r>
          </w:p>
        </w:tc>
        <w:tc>
          <w:tcPr>
            <w:tcW w:w="7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3,161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Trade receivables are non-interest bearing and are generally due on terms of 20 to 30 days. As described in Note 11.6, expected credit loss for trade receivables is immaterial.</w:t>
      </w: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14</w:t>
            </w:r>
          </w:p>
        </w:tc>
        <w:tc>
          <w:tcPr>
            <w:tcW w:w="6480" w:type="dxa"/>
            <w:vAlign w:val="bottom"/>
            <w:gridSpan w:val="3"/>
          </w:tcPr>
          <w:p>
            <w:pPr>
              <w:ind w:left="300"/>
              <w:spacing w:after="0"/>
              <w:rPr>
                <w:sz w:val="20"/>
                <w:szCs w:val="20"/>
                <w:color w:val="auto"/>
              </w:rPr>
            </w:pPr>
            <w:r>
              <w:rPr>
                <w:rFonts w:ascii="Arial" w:cs="Arial" w:eastAsia="Arial" w:hAnsi="Arial"/>
                <w:sz w:val="18"/>
                <w:szCs w:val="18"/>
                <w:b w:val="1"/>
                <w:bCs w:val="1"/>
                <w:color w:val="auto"/>
              </w:rPr>
              <w:t>Other assets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400" w:type="dxa"/>
            <w:vAlign w:val="bottom"/>
            <w:vMerge w:val="restart"/>
          </w:tcPr>
          <w:p>
            <w:pPr>
              <w:spacing w:after="0"/>
              <w:rPr>
                <w:sz w:val="23"/>
                <w:szCs w:val="23"/>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240" w:type="dxa"/>
            <w:vAlign w:val="bottom"/>
            <w:vMerge w:val="restart"/>
          </w:tcPr>
          <w:p>
            <w:pPr>
              <w:spacing w:after="0"/>
              <w:rPr>
                <w:sz w:val="23"/>
                <w:szCs w:val="23"/>
                <w:color w:val="auto"/>
              </w:rPr>
            </w:pPr>
          </w:p>
        </w:tc>
        <w:tc>
          <w:tcPr>
            <w:tcW w:w="216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5"/>
              </w:rPr>
              <w:t>As of 1 January</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5240" w:type="dxa"/>
            <w:vAlign w:val="bottom"/>
            <w:vMerge w:val="continue"/>
          </w:tcPr>
          <w:p>
            <w:pPr>
              <w:spacing w:after="0"/>
              <w:rPr>
                <w:sz w:val="12"/>
                <w:szCs w:val="12"/>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Sales tax receivable</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€8,611</w:t>
            </w:r>
          </w:p>
        </w:tc>
        <w:tc>
          <w:tcPr>
            <w:tcW w:w="5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€3,832</w:t>
            </w:r>
          </w:p>
        </w:tc>
        <w:tc>
          <w:tcPr>
            <w:tcW w:w="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Prepayments on inventories</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155</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48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9,164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6,227</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Other assets were mainly comprised of interest income of k€270 (2017 other assets were mainly comprised of receivables due to grants of k€1,356).</w:t>
      </w:r>
    </w:p>
    <w:p>
      <w:pPr>
        <w:spacing w:after="0" w:line="315" w:lineRule="exact"/>
        <w:rPr>
          <w:sz w:val="20"/>
          <w:szCs w:val="20"/>
          <w:color w:val="auto"/>
        </w:rPr>
      </w:pPr>
    </w:p>
    <w:p>
      <w:pPr>
        <w:ind w:left="200" w:right="7820" w:firstLine="4"/>
        <w:spacing w:after="0" w:line="375" w:lineRule="auto"/>
        <w:tabs>
          <w:tab w:leader="none" w:pos="97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Issued capital and reserves Issued capital:</w:t>
      </w:r>
    </w:p>
    <w:p>
      <w:pPr>
        <w:spacing w:after="0" w:line="1"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Authorized shares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2040" w:type="dxa"/>
            <w:vAlign w:val="bottom"/>
            <w:vMerge w:val="restart"/>
          </w:tcPr>
          <w:p>
            <w:pPr>
              <w:spacing w:after="0"/>
              <w:rPr>
                <w:sz w:val="14"/>
                <w:szCs w:val="14"/>
                <w:color w:val="auto"/>
              </w:rPr>
            </w:pPr>
          </w:p>
        </w:tc>
        <w:tc>
          <w:tcPr>
            <w:tcW w:w="2660" w:type="dxa"/>
            <w:vAlign w:val="bottom"/>
          </w:tcPr>
          <w:p>
            <w:pPr>
              <w:spacing w:after="0"/>
              <w:rPr>
                <w:sz w:val="14"/>
                <w:szCs w:val="14"/>
                <w:color w:val="auto"/>
              </w:rPr>
            </w:pPr>
          </w:p>
        </w:tc>
        <w:tc>
          <w:tcPr>
            <w:tcW w:w="27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As of 1 January</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266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Ordinary shares</w:t>
            </w:r>
          </w:p>
        </w:tc>
        <w:tc>
          <w:tcPr>
            <w:tcW w:w="2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167,347</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166,764</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Series A shares</w:t>
            </w:r>
          </w:p>
        </w:tc>
        <w:tc>
          <w:tcPr>
            <w:tcW w:w="3680" w:type="dxa"/>
            <w:vAlign w:val="bottom"/>
            <w:gridSpan w:val="3"/>
          </w:tcPr>
          <w:p>
            <w:pPr>
              <w:jc w:val="right"/>
              <w:ind w:right="320"/>
              <w:spacing w:after="0"/>
              <w:rPr>
                <w:sz w:val="20"/>
                <w:szCs w:val="20"/>
                <w:color w:val="auto"/>
              </w:rPr>
            </w:pPr>
            <w:r>
              <w:rPr>
                <w:rFonts w:ascii="Arial" w:cs="Arial" w:eastAsia="Arial" w:hAnsi="Arial"/>
                <w:sz w:val="18"/>
                <w:szCs w:val="18"/>
                <w:color w:val="auto"/>
              </w:rPr>
              <w:t>22,588</w:t>
            </w:r>
          </w:p>
        </w:tc>
        <w:tc>
          <w:tcPr>
            <w:tcW w:w="320" w:type="dxa"/>
            <w:vAlign w:val="bottom"/>
          </w:tcPr>
          <w:p>
            <w:pPr>
              <w:spacing w:after="0"/>
              <w:rPr>
                <w:sz w:val="18"/>
                <w:szCs w:val="18"/>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Qualifying shares</w:t>
            </w:r>
          </w:p>
        </w:tc>
        <w:tc>
          <w:tcPr>
            <w:tcW w:w="3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3,361</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193,296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166,764</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80" w:type="dxa"/>
            <w:vAlign w:val="bottom"/>
            <w:gridSpan w:val="3"/>
          </w:tcPr>
          <w:p>
            <w:pPr>
              <w:ind w:left="1580"/>
              <w:spacing w:after="0"/>
              <w:rPr>
                <w:sz w:val="20"/>
                <w:szCs w:val="20"/>
                <w:color w:val="auto"/>
              </w:rPr>
            </w:pPr>
            <w:r>
              <w:rPr>
                <w:rFonts w:ascii="Arial" w:cs="Arial" w:eastAsia="Arial" w:hAnsi="Arial"/>
                <w:sz w:val="18"/>
                <w:szCs w:val="18"/>
                <w:color w:val="auto"/>
              </w:rPr>
              <w:t>F-60</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459" w:right="79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During the fiscal year 2018, the issued capital of BioNTech was increased by €26.5 million (2017: €163.5 million) to €193.3 million (2017: €166.8 million) in conjunction with a cash investment of €355.8 million. The capital increase in 2017 is due to a conversion of capital reserves into share capital. There were no cash proceeds in this transaction. Each share has a par value of €1.</w:t>
      </w:r>
    </w:p>
    <w:p>
      <w:pPr>
        <w:spacing w:after="0" w:line="32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Share-based payments</w:t>
      </w:r>
    </w:p>
    <w:p>
      <w:pPr>
        <w:spacing w:after="0" w:line="1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5"/>
          <w:szCs w:val="15"/>
          <w:b w:val="1"/>
          <w:bCs w:val="1"/>
          <w:color w:val="auto"/>
        </w:rPr>
        <w:t>Description of share-based payments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2018 and 2017, the Group had the following share-based arrangements.</w:t>
      </w:r>
    </w:p>
    <w:p>
      <w:pPr>
        <w:spacing w:after="0" w:line="3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16.1.1 Employee Stock Ownership Plan (equity-settled)</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On November 15, 2018, the Group established a share option program that grants selected employees options to receive shares in the company. The program is designed as an Employee Stock Ownership Plan (ESOP). The Group has offered the participants a certain number of rights (Option Rights) by explicit acceptance of the participants. The exercise of the Option Rights in accordance with the terms of the ESOP, gives the participants the right to obtain shares against payment of the exercise price. The Option Rights vest over four years, can only be exercised if the company has executed a public offering in the United States (IPO) and when meeting the Threshold Amount. Threshold Amount means the exercise price provided that such price increases by eight percentage points on the first and then each subsequent anniversary of the Allocation Date (September 26, 2018). The Option Rights can be exercised at the latest eight years after the Allocation Date. If they have not been exercised by that date, they will forfeit without compensation.</w:t>
      </w:r>
    </w:p>
    <w:p>
      <w:pPr>
        <w:spacing w:after="0" w:line="33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16.1.2 Share appreciation rights (equity-settled)</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On December 1, 2017, the Group granted 582,714 shares to selected employees under the share appreciation rights (SAR) program. The shares vested immediately at the grant date (December 2017) as there were no vesting conditions.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other SARs granted.</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Measurement of fair values</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16.2.1 Equity-settled share-based payment arrangement</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fair value of the employee share options has been measured using a binomial model. Service conditions attached to the arrangement were not taken into account in measuring the fair value.</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The share options can only be exercised by the grantee if the price of the share is equal or greater to the Threshold Amount as defined in the arrangement. Moreover, the option rights can only be exercised if the IPO has occurred. Both conditions have been incorporated into the fair value at grant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inputs used in the measurement of the fair values at grant date of the equity-settled share-based payment plan was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r>
      <w:tr>
        <w:trPr>
          <w:trHeight w:val="149"/>
        </w:trPr>
        <w:tc>
          <w:tcPr>
            <w:tcW w:w="2720" w:type="dxa"/>
            <w:vAlign w:val="bottom"/>
          </w:tcPr>
          <w:p>
            <w:pPr>
              <w:spacing w:after="0"/>
              <w:rPr>
                <w:sz w:val="12"/>
                <w:szCs w:val="12"/>
                <w:color w:val="auto"/>
              </w:rPr>
            </w:pPr>
          </w:p>
        </w:tc>
        <w:tc>
          <w:tcPr>
            <w:tcW w:w="4760" w:type="dxa"/>
            <w:vAlign w:val="bottom"/>
            <w:gridSpan w:val="4"/>
          </w:tcPr>
          <w:p>
            <w:pPr>
              <w:jc w:val="center"/>
              <w:ind w:left="3454"/>
              <w:spacing w:after="0" w:line="149" w:lineRule="exact"/>
              <w:rPr>
                <w:sz w:val="20"/>
                <w:szCs w:val="20"/>
                <w:color w:val="auto"/>
              </w:rPr>
            </w:pPr>
            <w:r>
              <w:rPr>
                <w:rFonts w:ascii="Arial" w:cs="Arial" w:eastAsia="Arial" w:hAnsi="Arial"/>
                <w:sz w:val="14"/>
                <w:szCs w:val="14"/>
                <w:b w:val="1"/>
                <w:bCs w:val="1"/>
                <w:color w:val="auto"/>
                <w:w w:val="93"/>
              </w:rPr>
              <w:t>15 November</w:t>
            </w:r>
          </w:p>
        </w:tc>
      </w:tr>
      <w:tr>
        <w:trPr>
          <w:trHeight w:val="171"/>
        </w:trPr>
        <w:tc>
          <w:tcPr>
            <w:tcW w:w="2720" w:type="dxa"/>
            <w:vAlign w:val="bottom"/>
            <w:tcBorders>
              <w:bottom w:val="single" w:sz="8" w:color="CCEEFF"/>
            </w:tcBorders>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Share price at grant date</w:t>
            </w:r>
          </w:p>
        </w:tc>
        <w:tc>
          <w:tcPr>
            <w:tcW w:w="39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9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Expected volatility (%)</w:t>
            </w: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0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Expected dividends</w:t>
            </w: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3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r>
      <w:tr>
        <w:trPr>
          <w:trHeight w:val="365"/>
        </w:trPr>
        <w:tc>
          <w:tcPr>
            <w:tcW w:w="2720" w:type="dxa"/>
            <w:vAlign w:val="bottom"/>
          </w:tcPr>
          <w:p>
            <w:pPr>
              <w:spacing w:after="0"/>
              <w:rPr>
                <w:sz w:val="24"/>
                <w:szCs w:val="24"/>
                <w:color w:val="auto"/>
              </w:rPr>
            </w:pPr>
          </w:p>
        </w:tc>
        <w:tc>
          <w:tcPr>
            <w:tcW w:w="3900" w:type="dxa"/>
            <w:vAlign w:val="bottom"/>
            <w:gridSpan w:val="2"/>
          </w:tcPr>
          <w:p>
            <w:pPr>
              <w:jc w:val="right"/>
              <w:ind w:right="2647"/>
              <w:spacing w:after="0"/>
              <w:rPr>
                <w:sz w:val="20"/>
                <w:szCs w:val="20"/>
                <w:color w:val="auto"/>
              </w:rPr>
            </w:pPr>
            <w:r>
              <w:rPr>
                <w:rFonts w:ascii="Arial" w:cs="Arial" w:eastAsia="Arial" w:hAnsi="Arial"/>
                <w:sz w:val="18"/>
                <w:szCs w:val="18"/>
                <w:color w:val="auto"/>
              </w:rPr>
              <w:t>F-61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Expected volatility has been based on an evaluation of the historical and the implied volatilities of comparable companies over the historical period commensurate with the expected term. The expected term has been based on general option holder behavior for employee options.</w:t>
      </w:r>
    </w:p>
    <w:p>
      <w:pPr>
        <w:spacing w:after="0" w:line="26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16.2.2</w:t>
      </w:r>
      <w:r>
        <w:rPr>
          <w:sz w:val="20"/>
          <w:szCs w:val="20"/>
          <w:color w:val="auto"/>
        </w:rPr>
        <w:tab/>
      </w:r>
      <w:r>
        <w:rPr>
          <w:rFonts w:ascii="Arial" w:cs="Arial" w:eastAsia="Arial" w:hAnsi="Arial"/>
          <w:sz w:val="16"/>
          <w:szCs w:val="16"/>
          <w:b w:val="1"/>
          <w:bCs w:val="1"/>
          <w:color w:val="auto"/>
        </w:rPr>
        <w:t>Share appreciation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the SARs has been determined using a discounted cash flow (DCF) model as of December 2017.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inputs used in the measurement of the fair values at grant date of the SARs were as follows.</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Grant date 1</w:t>
            </w:r>
          </w:p>
        </w:tc>
      </w:tr>
      <w:tr>
        <w:trPr>
          <w:trHeight w:val="149"/>
        </w:trPr>
        <w:tc>
          <w:tcPr>
            <w:tcW w:w="648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December</w:t>
            </w:r>
          </w:p>
        </w:tc>
      </w:tr>
      <w:tr>
        <w:trPr>
          <w:trHeight w:val="171"/>
        </w:trPr>
        <w:tc>
          <w:tcPr>
            <w:tcW w:w="6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WACC</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Tax rate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Debt free net working capital (in % of sales)</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Long-term growth rate (%)</w:t>
            </w: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Growth rate estimates are based on epidemiology data for different indications in focus geographies. The average market growth rates per indication and stage have been extrapolated with data derived from published industry research.</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expected life of the SARs is based on historical data and current expectations and is not necessarily indicative of exercise patterns that may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Expected dividends were not incorporated into the measurement of fair value.</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5"/>
          <w:szCs w:val="15"/>
          <w:b w:val="1"/>
          <w:bCs w:val="1"/>
          <w:color w:val="auto"/>
        </w:rPr>
        <w:t>Reconciliation of outstanding share-options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and weighted-average exercise prices of share options under the ESOP were as follows: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Reconciliation of outstanding share options</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60" w:type="dxa"/>
            <w:vAlign w:val="bottom"/>
          </w:tcPr>
          <w:p>
            <w:pPr>
              <w:jc w:val="right"/>
              <w:ind w:right="16"/>
              <w:spacing w:after="0"/>
              <w:rPr>
                <w:sz w:val="20"/>
                <w:szCs w:val="20"/>
                <w:color w:val="auto"/>
              </w:rPr>
            </w:pPr>
            <w:r>
              <w:rPr>
                <w:rFonts w:ascii="Arial" w:cs="Arial" w:eastAsia="Arial" w:hAnsi="Arial"/>
                <w:sz w:val="14"/>
                <w:szCs w:val="14"/>
                <w:b w:val="1"/>
                <w:bCs w:val="1"/>
                <w:color w:val="auto"/>
              </w:rPr>
              <w:t>Number of</w:t>
            </w:r>
          </w:p>
        </w:tc>
        <w:tc>
          <w:tcPr>
            <w:tcW w:w="2000" w:type="dxa"/>
            <w:vAlign w:val="bottom"/>
            <w:gridSpan w:val="4"/>
          </w:tcPr>
          <w:p>
            <w:pPr>
              <w:ind w:left="840"/>
              <w:spacing w:after="0"/>
              <w:rPr>
                <w:sz w:val="20"/>
                <w:szCs w:val="20"/>
                <w:color w:val="auto"/>
              </w:rPr>
            </w:pPr>
            <w:r>
              <w:rPr>
                <w:rFonts w:ascii="Arial" w:cs="Arial" w:eastAsia="Arial" w:hAnsi="Arial"/>
                <w:sz w:val="14"/>
                <w:szCs w:val="14"/>
                <w:b w:val="1"/>
                <w:bCs w:val="1"/>
                <w:color w:val="auto"/>
                <w:w w:val="95"/>
              </w:rPr>
              <w:t>Weighted average</w:t>
            </w: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rPr>
              <w:t>options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1 January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11,845,962</w:t>
            </w: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474"/>
              <w:spacing w:after="0"/>
              <w:rPr>
                <w:sz w:val="20"/>
                <w:szCs w:val="20"/>
                <w:color w:val="auto"/>
              </w:rPr>
            </w:pPr>
            <w:r>
              <w:rPr>
                <w:rFonts w:ascii="Arial" w:cs="Arial" w:eastAsia="Arial" w:hAnsi="Arial"/>
                <w:sz w:val="18"/>
                <w:szCs w:val="18"/>
                <w:color w:val="auto"/>
                <w:w w:val="88"/>
              </w:rPr>
              <w:t>10.14</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31 December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11,845,962</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8"/>
              </w:rPr>
              <w:t>10.14</w:t>
            </w:r>
          </w:p>
        </w:tc>
        <w:tc>
          <w:tcPr>
            <w:tcW w:w="40" w:type="dxa"/>
            <w:vAlign w:val="bottom"/>
            <w:shd w:val="clear" w:color="auto" w:fill="CCEEFF"/>
          </w:tcPr>
          <w:p>
            <w:pPr>
              <w:spacing w:after="0"/>
              <w:rPr>
                <w:sz w:val="18"/>
                <w:szCs w:val="18"/>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Exercisable at 31 December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left="534"/>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options outstanding at December 31, 2018 have a weighted-average contractual life of 7.75 years.</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5"/>
              </w:rPr>
              <w:t>16.4</w:t>
            </w:r>
          </w:p>
        </w:tc>
        <w:tc>
          <w:tcPr>
            <w:tcW w:w="8280" w:type="dxa"/>
            <w:vAlign w:val="bottom"/>
            <w:gridSpan w:val="3"/>
          </w:tcPr>
          <w:p>
            <w:pPr>
              <w:ind w:left="400"/>
              <w:spacing w:after="0"/>
              <w:rPr>
                <w:sz w:val="20"/>
                <w:szCs w:val="20"/>
                <w:color w:val="auto"/>
              </w:rPr>
            </w:pPr>
            <w:r>
              <w:rPr>
                <w:rFonts w:ascii="Arial" w:cs="Arial" w:eastAsia="Arial" w:hAnsi="Arial"/>
                <w:sz w:val="18"/>
                <w:szCs w:val="18"/>
                <w:b w:val="1"/>
                <w:bCs w:val="1"/>
                <w:color w:val="auto"/>
              </w:rPr>
              <w:t>Expense recognized in the statement of operations</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99"/>
              </w:rPr>
              <w:t>The expense recognized for employee services received during the year is shown in the following table:</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 thousands)</w:t>
            </w:r>
          </w:p>
        </w:tc>
        <w:tc>
          <w:tcPr>
            <w:tcW w:w="69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Expense arising from equity-settled share-based payment transactions</w:t>
            </w: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7,641</w:t>
            </w:r>
          </w:p>
        </w:tc>
        <w:tc>
          <w:tcPr>
            <w:tcW w:w="4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8280" w:type="dxa"/>
            <w:vAlign w:val="bottom"/>
            <w:gridSpan w:val="3"/>
          </w:tcPr>
          <w:p>
            <w:pPr>
              <w:ind w:left="500"/>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7,641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5,909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40" w:type="dxa"/>
            <w:vAlign w:val="bottom"/>
            <w:vMerge w:val="restart"/>
          </w:tcPr>
          <w:p>
            <w:pPr>
              <w:ind w:left="3620"/>
              <w:spacing w:after="0"/>
              <w:rPr>
                <w:sz w:val="20"/>
                <w:szCs w:val="20"/>
                <w:color w:val="auto"/>
              </w:rPr>
            </w:pPr>
            <w:r>
              <w:rPr>
                <w:rFonts w:ascii="Arial" w:cs="Arial" w:eastAsia="Arial" w:hAnsi="Arial"/>
                <w:sz w:val="18"/>
                <w:szCs w:val="18"/>
                <w:color w:val="auto"/>
              </w:rPr>
              <w:t>F-62</w:t>
            </w: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60" w:right="67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expenses were recognized in the statement of operations as follows: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47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Cost of sales</w:t>
            </w: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6,786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3,620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2,275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0" w:type="dxa"/>
            <w:vAlign w:val="bottom"/>
            <w:gridSpan w:val="2"/>
            <w:shd w:val="clear" w:color="auto" w:fill="CCEEFF"/>
          </w:tcPr>
          <w:p>
            <w:pPr>
              <w:ind w:left="2120"/>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7,641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5,909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cancellations or modifications to the awards in 2018 or 2017.</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b w:val="1"/>
          <w:bCs w:val="1"/>
          <w:color w:val="auto"/>
        </w:rPr>
        <w:t>Net settlement feature for withholding tax obligation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Under the agreement, BioNTech must withhold an amount for an employee’s tax obligation associated with the share-based payment and transfer that amount in cash to the tax authority on the employee’s behalf. BioNTech does not withhold shares in order to settle the employee’s tax obligations. The Group withheld an amount of k€7,761 that was paid to the taxation authority in relation to the SARs in 2018.</w:t>
      </w:r>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17</w:t>
            </w:r>
          </w:p>
        </w:tc>
        <w:tc>
          <w:tcPr>
            <w:tcW w:w="7140" w:type="dxa"/>
            <w:vAlign w:val="bottom"/>
            <w:gridSpan w:val="3"/>
          </w:tcPr>
          <w:p>
            <w:pPr>
              <w:ind w:left="300"/>
              <w:spacing w:after="0"/>
              <w:rPr>
                <w:sz w:val="20"/>
                <w:szCs w:val="20"/>
                <w:color w:val="auto"/>
              </w:rPr>
            </w:pPr>
            <w:r>
              <w:rPr>
                <w:rFonts w:ascii="Arial" w:cs="Arial" w:eastAsia="Arial" w:hAnsi="Arial"/>
                <w:sz w:val="18"/>
                <w:szCs w:val="18"/>
                <w:b w:val="1"/>
                <w:bCs w:val="1"/>
                <w:color w:val="auto"/>
              </w:rPr>
              <w:t>Other liabilities</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As at 1</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400" w:type="dxa"/>
            <w:vAlign w:val="bottom"/>
            <w:vMerge w:val="restart"/>
          </w:tcPr>
          <w:p>
            <w:pPr>
              <w:spacing w:after="0"/>
              <w:rPr>
                <w:sz w:val="12"/>
                <w:szCs w:val="12"/>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5900" w:type="dxa"/>
            <w:vAlign w:val="bottom"/>
            <w:vMerge w:val="restart"/>
          </w:tcPr>
          <w:p>
            <w:pPr>
              <w:spacing w:after="0"/>
              <w:rPr>
                <w:sz w:val="12"/>
                <w:szCs w:val="12"/>
                <w:color w:val="auto"/>
              </w:rPr>
            </w:pPr>
          </w:p>
        </w:tc>
        <w:tc>
          <w:tcPr>
            <w:tcW w:w="5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2"/>
                <w:szCs w:val="12"/>
                <w:color w:val="auto"/>
              </w:rPr>
            </w:pP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January</w:t>
            </w: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center"/>
              <w:ind w:left="136"/>
              <w:spacing w:after="0" w:line="158"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Liabilities employees</w:t>
            </w: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€5,236</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€19,277</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€2,919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3,864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5,494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40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9,100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24,771</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4,067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liabilities comprise accruals for outstanding invoices in the amount of k€3,739 (2017: k€1,383) and several other non-material positions.</w:t>
      </w:r>
    </w:p>
    <w:p>
      <w:pPr>
        <w:spacing w:after="0" w:line="39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Leases</w:t>
      </w:r>
    </w:p>
    <w:p>
      <w:pPr>
        <w:spacing w:after="0" w:line="1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5"/>
          <w:szCs w:val="15"/>
          <w:b w:val="1"/>
          <w:bCs w:val="1"/>
          <w:color w:val="auto"/>
        </w:rPr>
        <w:t>Amounts recognized in the balance sheet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amounts relate to leases and are included in Property, plant and equipment.</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Right-of-use assets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80" w:type="dxa"/>
            <w:vAlign w:val="bottom"/>
            <w:vMerge w:val="restart"/>
          </w:tcPr>
          <w:p>
            <w:pPr>
              <w:spacing w:after="0"/>
              <w:rPr>
                <w:sz w:val="14"/>
                <w:szCs w:val="1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500" w:type="dxa"/>
            <w:vAlign w:val="bottom"/>
            <w:vMerge w:val="restart"/>
          </w:tcPr>
          <w:p>
            <w:pPr>
              <w:spacing w:after="0"/>
              <w:rPr>
                <w:sz w:val="14"/>
                <w:szCs w:val="14"/>
                <w:color w:val="auto"/>
              </w:rPr>
            </w:pPr>
          </w:p>
        </w:tc>
        <w:tc>
          <w:tcPr>
            <w:tcW w:w="2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center"/>
              <w:ind w:left="136"/>
              <w:spacing w:after="0" w:line="158"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2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€49,718</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51,772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€ 27,870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3240" w:type="dxa"/>
            <w:vAlign w:val="bottom"/>
            <w:gridSpan w:val="3"/>
          </w:tcPr>
          <w:p>
            <w:pPr>
              <w:jc w:val="right"/>
              <w:ind w:right="4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Cars</w:t>
            </w:r>
          </w:p>
        </w:tc>
        <w:tc>
          <w:tcPr>
            <w:tcW w:w="3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8"/>
        </w:trPr>
        <w:tc>
          <w:tcPr>
            <w:tcW w:w="522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w:t>
            </w:r>
          </w:p>
        </w:tc>
        <w:tc>
          <w:tcPr>
            <w:tcW w:w="22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€49,766</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51,915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€ 28,132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220" w:type="dxa"/>
            <w:vAlign w:val="bottom"/>
            <w:gridSpan w:val="3"/>
          </w:tcPr>
          <w:p>
            <w:pPr>
              <w:ind w:left="440"/>
              <w:spacing w:after="0"/>
              <w:rPr>
                <w:sz w:val="20"/>
                <w:szCs w:val="20"/>
                <w:color w:val="auto"/>
              </w:rPr>
            </w:pPr>
            <w:r>
              <w:rPr>
                <w:rFonts w:ascii="Arial" w:cs="Arial" w:eastAsia="Arial" w:hAnsi="Arial"/>
                <w:sz w:val="18"/>
                <w:szCs w:val="18"/>
                <w:color w:val="auto"/>
                <w:w w:val="95"/>
              </w:rPr>
              <w:t>The following amounts are included in other financial liabilities.</w:t>
            </w: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Lease liability</w:t>
            </w:r>
          </w:p>
        </w:tc>
        <w:tc>
          <w:tcPr>
            <w:tcW w:w="2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w w:val="92"/>
              </w:rPr>
              <w:t>(in thousands)</w:t>
            </w:r>
          </w:p>
        </w:tc>
        <w:tc>
          <w:tcPr>
            <w:tcW w:w="3500" w:type="dxa"/>
            <w:vAlign w:val="bottom"/>
            <w:vMerge w:val="restart"/>
          </w:tcPr>
          <w:p>
            <w:pPr>
              <w:spacing w:after="0"/>
              <w:rPr>
                <w:sz w:val="24"/>
                <w:szCs w:val="24"/>
                <w:color w:val="auto"/>
              </w:rPr>
            </w:pPr>
          </w:p>
        </w:tc>
        <w:tc>
          <w:tcPr>
            <w:tcW w:w="2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center"/>
              <w:ind w:left="136"/>
              <w:spacing w:after="0" w:line="158"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Current</w:t>
            </w:r>
          </w:p>
        </w:tc>
        <w:tc>
          <w:tcPr>
            <w:tcW w:w="2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€ 2,134</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1,832</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1,464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2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48,618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50,349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26,669</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50,752</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52,182</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€ 28,132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40" w:type="dxa"/>
            <w:vAlign w:val="bottom"/>
            <w:gridSpan w:val="3"/>
          </w:tcPr>
          <w:p>
            <w:pPr>
              <w:ind w:left="120"/>
              <w:spacing w:after="0"/>
              <w:rPr>
                <w:sz w:val="20"/>
                <w:szCs w:val="20"/>
                <w:color w:val="auto"/>
              </w:rPr>
            </w:pPr>
            <w:r>
              <w:rPr>
                <w:rFonts w:ascii="Arial" w:cs="Arial" w:eastAsia="Arial" w:hAnsi="Arial"/>
                <w:sz w:val="18"/>
                <w:szCs w:val="18"/>
                <w:color w:val="auto"/>
              </w:rPr>
              <w:t>F-63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9" w:right="55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300" w:type="dxa"/>
            <w:vAlign w:val="bottom"/>
            <w:gridSpan w:val="2"/>
          </w:tcPr>
          <w:p>
            <w:pPr>
              <w:ind w:left="60"/>
              <w:spacing w:after="0"/>
              <w:rPr>
                <w:sz w:val="20"/>
                <w:szCs w:val="20"/>
                <w:color w:val="auto"/>
              </w:rPr>
            </w:pPr>
            <w:r>
              <w:rPr>
                <w:rFonts w:ascii="Arial" w:cs="Arial" w:eastAsia="Arial" w:hAnsi="Arial"/>
                <w:sz w:val="18"/>
                <w:szCs w:val="18"/>
                <w:color w:val="auto"/>
              </w:rPr>
              <w:t>Additions to the right-of-use assets during 2018 were k€723 (2017: k€25,662; as of January 1, 2017: k€28,132).</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81"/>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18.2</w:t>
            </w:r>
          </w:p>
        </w:tc>
        <w:tc>
          <w:tcPr>
            <w:tcW w:w="9300" w:type="dxa"/>
            <w:vAlign w:val="bottom"/>
            <w:gridSpan w:val="2"/>
          </w:tcPr>
          <w:p>
            <w:pPr>
              <w:ind w:left="400"/>
              <w:spacing w:after="0"/>
              <w:rPr>
                <w:sz w:val="20"/>
                <w:szCs w:val="20"/>
                <w:color w:val="auto"/>
              </w:rPr>
            </w:pPr>
            <w:r>
              <w:rPr>
                <w:rFonts w:ascii="Arial" w:cs="Arial" w:eastAsia="Arial" w:hAnsi="Arial"/>
                <w:sz w:val="18"/>
                <w:szCs w:val="18"/>
                <w:b w:val="1"/>
                <w:bCs w:val="1"/>
                <w:color w:val="auto"/>
              </w:rPr>
              <w:t>Amounts recognized in the statement of operations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9680" w:type="dxa"/>
            <w:vAlign w:val="bottom"/>
            <w:gridSpan w:val="4"/>
          </w:tcPr>
          <w:p>
            <w:pPr>
              <w:spacing w:after="0"/>
              <w:rPr>
                <w:sz w:val="20"/>
                <w:szCs w:val="20"/>
                <w:color w:val="auto"/>
              </w:rPr>
            </w:pPr>
            <w:r>
              <w:rPr>
                <w:rFonts w:ascii="Arial" w:cs="Arial" w:eastAsia="Arial" w:hAnsi="Arial"/>
                <w:sz w:val="18"/>
                <w:szCs w:val="18"/>
                <w:b w:val="1"/>
                <w:bCs w:val="1"/>
                <w:color w:val="auto"/>
              </w:rPr>
              <w:t>Depreciation charge of right-of-use assets</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9680" w:type="dxa"/>
            <w:vAlign w:val="bottom"/>
            <w:gridSpan w:val="4"/>
          </w:tcPr>
          <w:p>
            <w:pPr>
              <w:spacing w:after="0"/>
              <w:rPr>
                <w:sz w:val="20"/>
                <w:szCs w:val="20"/>
                <w:color w:val="auto"/>
              </w:rPr>
            </w:pPr>
            <w:r>
              <w:rPr>
                <w:rFonts w:ascii="Arial" w:cs="Arial" w:eastAsia="Arial" w:hAnsi="Arial"/>
                <w:sz w:val="14"/>
                <w:szCs w:val="14"/>
                <w:color w:val="auto"/>
              </w:rPr>
              <w:t>(in thousands)</w:t>
            </w:r>
          </w:p>
        </w:tc>
        <w:tc>
          <w:tcPr>
            <w:tcW w:w="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7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Buildings</w:t>
            </w:r>
          </w:p>
        </w:tc>
        <w:tc>
          <w:tcPr>
            <w:tcW w:w="88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€2,751</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€1,759</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Equipment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9"/>
              </w:rPr>
              <w:t>Cars</w:t>
            </w:r>
          </w:p>
        </w:tc>
        <w:tc>
          <w:tcPr>
            <w:tcW w:w="46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30"/>
        </w:trPr>
        <w:tc>
          <w:tcPr>
            <w:tcW w:w="9680" w:type="dxa"/>
            <w:vAlign w:val="bottom"/>
            <w:gridSpan w:val="4"/>
          </w:tcPr>
          <w:p>
            <w:pPr>
              <w:spacing w:after="0"/>
              <w:rPr>
                <w:sz w:val="20"/>
                <w:szCs w:val="20"/>
                <w:color w:val="auto"/>
              </w:rPr>
            </w:pPr>
            <w:r>
              <w:rPr>
                <w:rFonts w:ascii="Arial" w:cs="Arial" w:eastAsia="Arial" w:hAnsi="Arial"/>
                <w:sz w:val="18"/>
                <w:szCs w:val="18"/>
                <w:b w:val="1"/>
                <w:bCs w:val="1"/>
                <w:color w:val="auto"/>
              </w:rPr>
              <w:t>Total depreciation charge</w:t>
            </w: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2,846</w:t>
            </w: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1,909</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Expense related to short-term leases (included in other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Expense relating to leases of low-value assets that are not short-term leases (included in other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r>
      <w:tr>
        <w:trPr>
          <w:trHeight w:val="223"/>
        </w:trPr>
        <w:tc>
          <w:tcPr>
            <w:tcW w:w="9680" w:type="dxa"/>
            <w:vAlign w:val="bottom"/>
            <w:gridSpan w:val="4"/>
          </w:tcPr>
          <w:p>
            <w:pPr>
              <w:spacing w:after="0"/>
              <w:rPr>
                <w:sz w:val="20"/>
                <w:szCs w:val="20"/>
                <w:color w:val="auto"/>
              </w:rPr>
            </w:pPr>
            <w:r>
              <w:rPr>
                <w:rFonts w:ascii="Arial" w:cs="Arial" w:eastAsia="Arial" w:hAnsi="Arial"/>
                <w:sz w:val="18"/>
                <w:szCs w:val="18"/>
                <w:b w:val="1"/>
                <w:bCs w:val="1"/>
                <w:color w:val="auto"/>
              </w:rPr>
              <w:t>Total amounts recognised in statement of operations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5,088</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3,121</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total cash outflow for leases in 2018 amounted to k€3,847 (2017: k€2,319).</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BioNTech develops individualized treatments for cancer patients and improved therapeutics to treat infectious and rare diseases. This activity, together with research and development activities, forms the core of the company. External services provide the interface where medical products are sold to third parties.</w:t>
      </w:r>
    </w:p>
    <w:p>
      <w:pPr>
        <w:spacing w:after="0" w:line="181"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BioNTech’s business is managed in two business units, the biotech business unit and the external services business unit. The biotech business unit is comprised of three operation segments, which are individually monitored by the Chief Operating Decision Maker (CODM). Four operating segments have been identified in accordance with IFRS 8. No aggregation of operating segments was performed.</w:t>
      </w:r>
    </w:p>
    <w:p>
      <w:pPr>
        <w:spacing w:after="0" w:line="166"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Resource allocation and performance assessment is performed at the level of the Management Board. The Management Board members are jointly responsible for the management and strategic decision making. Consequently, the Management Board has been identified as the CODM. BioNTech’s business consist of the following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140970</wp:posOffset>
            </wp:positionV>
            <wp:extent cx="1689735" cy="16465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68973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 w:right="220" w:hanging="216"/>
        <w:spacing w:after="0" w:line="277" w:lineRule="auto"/>
        <w:tabs>
          <w:tab w:leader="none" w:pos="4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Business Service bundles the Group’s central functions. In line with IFRS 8.6, Business Services is not an operating segment but the information is separately disclosed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240" w:top="459" w:right="41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Research and Development activities form the Biotech Business Unit and are divided in the segments Clinical, Technology Platform and Manufacturing.</w:t>
      </w:r>
    </w:p>
    <w:p>
      <w:pPr>
        <w:spacing w:after="0" w:line="166" w:lineRule="exact"/>
        <w:rPr>
          <w:sz w:val="20"/>
          <w:szCs w:val="20"/>
          <w:color w:val="auto"/>
        </w:rPr>
      </w:pPr>
    </w:p>
    <w:p>
      <w:pPr>
        <w:ind w:left="200" w:right="60" w:firstLine="441"/>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Clinical</w:t>
      </w:r>
      <w:r>
        <w:rPr>
          <w:rFonts w:ascii="Arial" w:cs="Arial" w:eastAsia="Arial" w:hAnsi="Arial"/>
          <w:sz w:val="18"/>
          <w:szCs w:val="18"/>
          <w:color w:val="auto"/>
        </w:rPr>
        <w:t xml:space="preserve"> segment subsumes all development activities relating to clinical programs. Clinical studies include testing the product candidates on humans. Clinical trials are an essential part of the development and licensing of the medicinal products and are performed before the respective product can be placed on the market. BioNTech is actively engaged in many collaborations and licensing deals with reputable pharmaceutical companies and academic partners.</w:t>
      </w:r>
    </w:p>
    <w:p>
      <w:pPr>
        <w:spacing w:after="0" w:line="180" w:lineRule="exact"/>
        <w:rPr>
          <w:sz w:val="20"/>
          <w:szCs w:val="20"/>
          <w:color w:val="auto"/>
        </w:rPr>
      </w:pPr>
    </w:p>
    <w:p>
      <w:pPr>
        <w:ind w:left="200" w:right="240" w:firstLine="441"/>
        <w:spacing w:after="0" w:line="266" w:lineRule="auto"/>
        <w:rPr>
          <w:sz w:val="20"/>
          <w:szCs w:val="20"/>
          <w:color w:val="auto"/>
        </w:rPr>
      </w:pPr>
      <w:r>
        <w:rPr>
          <w:rFonts w:ascii="Arial" w:cs="Arial" w:eastAsia="Arial" w:hAnsi="Arial"/>
          <w:sz w:val="18"/>
          <w:szCs w:val="18"/>
          <w:b w:val="1"/>
          <w:bCs w:val="1"/>
          <w:color w:val="auto"/>
        </w:rPr>
        <w:t xml:space="preserve">Technology Platform </w:t>
      </w:r>
      <w:r>
        <w:rPr>
          <w:rFonts w:ascii="Arial" w:cs="Arial" w:eastAsia="Arial" w:hAnsi="Arial"/>
          <w:sz w:val="18"/>
          <w:szCs w:val="18"/>
          <w:color w:val="auto"/>
        </w:rPr>
        <w:t>contains all development activities relating to preclinical programs. Preclinical development is the stage of research that</w:t>
      </w:r>
      <w:r>
        <w:rPr>
          <w:rFonts w:ascii="Arial" w:cs="Arial" w:eastAsia="Arial" w:hAnsi="Arial"/>
          <w:sz w:val="18"/>
          <w:szCs w:val="18"/>
          <w:b w:val="1"/>
          <w:bCs w:val="1"/>
          <w:color w:val="auto"/>
        </w:rPr>
        <w:t xml:space="preserve"> </w:t>
      </w:r>
      <w:r>
        <w:rPr>
          <w:rFonts w:ascii="Arial" w:cs="Arial" w:eastAsia="Arial" w:hAnsi="Arial"/>
          <w:sz w:val="18"/>
          <w:szCs w:val="18"/>
          <w:color w:val="auto"/>
        </w:rPr>
        <w:t>begins before clinical trials. It is performed to determine the desired pharmacological effects and to identify any unwanted effects that may cause adverse reactions during human exposure.</w:t>
      </w:r>
    </w:p>
    <w:p>
      <w:pPr>
        <w:spacing w:after="0" w:line="176"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is an essential part of the research and development process as it comprises the manufacturing unit of mRNA and engineered cell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therapies. All the medical substances and tools that form the basis for the research studies performed at BioNTech are manufactured in this segment, </w:t>
      </w:r>
      <w:r>
        <w:rPr>
          <w:rFonts w:ascii="Arial" w:cs="Arial" w:eastAsia="Arial" w:hAnsi="Arial"/>
          <w:sz w:val="18"/>
          <w:szCs w:val="18"/>
          <w:i w:val="1"/>
          <w:iCs w:val="1"/>
          <w:color w:val="auto"/>
        </w:rPr>
        <w:t>(i.e.</w:t>
      </w:r>
      <w:r>
        <w:rPr>
          <w:rFonts w:ascii="Arial" w:cs="Arial" w:eastAsia="Arial" w:hAnsi="Arial"/>
          <w:sz w:val="18"/>
          <w:szCs w:val="18"/>
          <w:color w:val="auto"/>
        </w:rPr>
        <w:t>, the Manufacturing segment contains only internally produced substances and tools).</w:t>
      </w:r>
    </w:p>
    <w:p>
      <w:pPr>
        <w:spacing w:after="0" w:line="176" w:lineRule="exact"/>
        <w:rPr>
          <w:sz w:val="20"/>
          <w:szCs w:val="20"/>
          <w:color w:val="auto"/>
        </w:rPr>
      </w:pPr>
    </w:p>
    <w:p>
      <w:pPr>
        <w:jc w:val="both"/>
        <w:ind w:left="200" w:right="100" w:firstLine="441"/>
        <w:spacing w:after="0" w:line="261" w:lineRule="auto"/>
        <w:rPr>
          <w:sz w:val="20"/>
          <w:szCs w:val="20"/>
          <w:color w:val="auto"/>
        </w:rPr>
      </w:pPr>
      <w:r>
        <w:rPr>
          <w:rFonts w:ascii="Arial" w:cs="Arial" w:eastAsia="Arial" w:hAnsi="Arial"/>
          <w:sz w:val="18"/>
          <w:szCs w:val="18"/>
          <w:b w:val="1"/>
          <w:bCs w:val="1"/>
          <w:color w:val="auto"/>
        </w:rPr>
        <w:t xml:space="preserve">Product Sales &amp; External Services </w:t>
      </w:r>
      <w:r>
        <w:rPr>
          <w:rFonts w:ascii="Arial" w:cs="Arial" w:eastAsia="Arial" w:hAnsi="Arial"/>
          <w:sz w:val="18"/>
          <w:szCs w:val="18"/>
          <w:color w:val="auto"/>
        </w:rPr>
        <w:t>comprises the legal entities JPT Peptide Technology GmbH and Innovative Manufacturing Services GmbH</w:t>
      </w:r>
      <w:r>
        <w:rPr>
          <w:rFonts w:ascii="Arial" w:cs="Arial" w:eastAsia="Arial" w:hAnsi="Arial"/>
          <w:sz w:val="18"/>
          <w:szCs w:val="18"/>
          <w:b w:val="1"/>
          <w:bCs w:val="1"/>
          <w:color w:val="auto"/>
        </w:rPr>
        <w:t xml:space="preserve"> </w:t>
      </w:r>
      <w:r>
        <w:rPr>
          <w:rFonts w:ascii="Arial" w:cs="Arial" w:eastAsia="Arial" w:hAnsi="Arial"/>
          <w:sz w:val="18"/>
          <w:szCs w:val="18"/>
          <w:color w:val="auto"/>
        </w:rPr>
        <w:t>(IMFS), which form the interface to third parties. External services and medicinal products (</w:t>
      </w:r>
      <w:r>
        <w:rPr>
          <w:rFonts w:ascii="Arial" w:cs="Arial" w:eastAsia="Arial" w:hAnsi="Arial"/>
          <w:sz w:val="18"/>
          <w:szCs w:val="18"/>
          <w:i w:val="1"/>
          <w:iCs w:val="1"/>
          <w:color w:val="auto"/>
        </w:rPr>
        <w:t>e.g.</w:t>
      </w:r>
      <w:r>
        <w:rPr>
          <w:rFonts w:ascii="Arial" w:cs="Arial" w:eastAsia="Arial" w:hAnsi="Arial"/>
          <w:sz w:val="18"/>
          <w:szCs w:val="18"/>
          <w:color w:val="auto"/>
        </w:rPr>
        <w:t>, peptides and retroviral vectors) that are in the areas of molecular immunotherapies and biomarker-based diagnostic approaches for individualized treatment of cancer and other infectious diseases are sold to customers worldwide.</w:t>
      </w:r>
    </w:p>
    <w:p>
      <w:pPr>
        <w:spacing w:after="0" w:line="180" w:lineRule="exact"/>
        <w:rPr>
          <w:sz w:val="20"/>
          <w:szCs w:val="20"/>
          <w:color w:val="auto"/>
        </w:rPr>
      </w:pPr>
    </w:p>
    <w:p>
      <w:pPr>
        <w:ind w:left="200" w:firstLine="441"/>
        <w:spacing w:after="0" w:line="261" w:lineRule="auto"/>
        <w:rPr>
          <w:sz w:val="20"/>
          <w:szCs w:val="20"/>
          <w:color w:val="auto"/>
        </w:rPr>
      </w:pPr>
      <w:r>
        <w:rPr>
          <w:rFonts w:ascii="Arial" w:cs="Arial" w:eastAsia="Arial" w:hAnsi="Arial"/>
          <w:sz w:val="18"/>
          <w:szCs w:val="18"/>
          <w:b w:val="1"/>
          <w:bCs w:val="1"/>
          <w:color w:val="auto"/>
        </w:rPr>
        <w:t xml:space="preserve">Business Service </w:t>
      </w:r>
      <w:r>
        <w:rPr>
          <w:rFonts w:ascii="Arial" w:cs="Arial" w:eastAsia="Arial" w:hAnsi="Arial"/>
          <w:sz w:val="18"/>
          <w:szCs w:val="18"/>
          <w:color w:val="auto"/>
        </w:rPr>
        <w:t>contains the Group’s central administrative functions (</w:t>
      </w:r>
      <w:r>
        <w:rPr>
          <w:rFonts w:ascii="Arial" w:cs="Arial" w:eastAsia="Arial" w:hAnsi="Arial"/>
          <w:sz w:val="18"/>
          <w:szCs w:val="18"/>
          <w:i w:val="1"/>
          <w:iCs w:val="1"/>
          <w:color w:val="auto"/>
        </w:rPr>
        <w:t>e.g.</w:t>
      </w:r>
      <w:r>
        <w:rPr>
          <w:rFonts w:ascii="Arial" w:cs="Arial" w:eastAsia="Arial" w:hAnsi="Arial"/>
          <w:sz w:val="18"/>
          <w:szCs w:val="18"/>
          <w:color w:val="auto"/>
        </w:rPr>
        <w:t>, Finance, Procurement, Human Resources, Legal and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and overarching projects. Business Service does not fulfil the requirements for an operating segment according to IFRS 8, as it will never generate more than incidental revenues. However, financial information about Business Service is disclosed, as it contributes to the understanding of the company.</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80"/>
          </w:cols>
          <w:pgMar w:left="240" w:top="459" w:right="47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reconciles segment figures to Group figures.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7"/>
              </w:rPr>
              <w:t>External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11"/>
            <w:vMerge w:val="restart"/>
          </w:tcPr>
          <w:p>
            <w:pPr>
              <w:ind w:left="160"/>
              <w:spacing w:after="0"/>
              <w:rPr>
                <w:sz w:val="20"/>
                <w:szCs w:val="20"/>
                <w:color w:val="auto"/>
              </w:rPr>
            </w:pPr>
            <w:r>
              <w:rPr>
                <w:rFonts w:ascii="Arial" w:cs="Arial" w:eastAsia="Arial" w:hAnsi="Arial"/>
                <w:sz w:val="14"/>
                <w:szCs w:val="14"/>
                <w:b w:val="1"/>
                <w:bCs w:val="1"/>
                <w:color w:val="auto"/>
              </w:rPr>
              <w:t>Biotech Business Unit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Business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11"/>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Unit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0"/>
                <w:szCs w:val="10"/>
                <w:color w:val="auto"/>
              </w:rPr>
            </w:pPr>
          </w:p>
        </w:tc>
        <w:tc>
          <w:tcPr>
            <w:tcW w:w="660" w:type="dxa"/>
            <w:vAlign w:val="bottom"/>
            <w:tcBorders>
              <w:top w:val="single" w:sz="8" w:color="auto"/>
            </w:tcBorders>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Clinical</w:t>
            </w: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7"/>
          </w:tcPr>
          <w:p>
            <w:pPr>
              <w:ind w:left="20"/>
              <w:spacing w:after="0" w:line="119" w:lineRule="exact"/>
              <w:rPr>
                <w:sz w:val="20"/>
                <w:szCs w:val="20"/>
                <w:color w:val="auto"/>
              </w:rPr>
            </w:pPr>
            <w:r>
              <w:rPr>
                <w:rFonts w:ascii="Arial" w:cs="Arial" w:eastAsia="Arial" w:hAnsi="Arial"/>
                <w:sz w:val="13"/>
                <w:szCs w:val="13"/>
                <w:b w:val="1"/>
                <w:bCs w:val="1"/>
                <w:color w:val="auto"/>
              </w:rPr>
              <w:t>Technology</w:t>
            </w:r>
          </w:p>
        </w:tc>
        <w:tc>
          <w:tcPr>
            <w:tcW w:w="1120" w:type="dxa"/>
            <w:vAlign w:val="bottom"/>
            <w:tcBorders>
              <w:top w:val="single" w:sz="8" w:color="auto"/>
            </w:tcBorders>
            <w:gridSpan w:val="7"/>
            <w:vMerge w:val="restart"/>
          </w:tcPr>
          <w:p>
            <w:pPr>
              <w:ind w:left="20"/>
              <w:spacing w:after="0"/>
              <w:rPr>
                <w:sz w:val="20"/>
                <w:szCs w:val="20"/>
                <w:color w:val="auto"/>
              </w:rPr>
            </w:pPr>
            <w:r>
              <w:rPr>
                <w:rFonts w:ascii="Arial" w:cs="Arial" w:eastAsia="Arial" w:hAnsi="Arial"/>
                <w:sz w:val="14"/>
                <w:szCs w:val="14"/>
                <w:b w:val="1"/>
                <w:bCs w:val="1"/>
                <w:color w:val="auto"/>
              </w:rPr>
              <w:t>Manufacturing</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89"/>
              </w:rPr>
              <w:t>Business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External</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58"/>
        </w:trPr>
        <w:tc>
          <w:tcPr>
            <w:tcW w:w="31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5"/>
          </w:tcPr>
          <w:p>
            <w:pPr>
              <w:jc w:val="right"/>
              <w:ind w:right="320"/>
              <w:spacing w:after="0" w:line="158" w:lineRule="exact"/>
              <w:rPr>
                <w:sz w:val="20"/>
                <w:szCs w:val="20"/>
                <w:color w:val="auto"/>
              </w:rPr>
            </w:pPr>
            <w:r>
              <w:rPr>
                <w:rFonts w:ascii="Arial" w:cs="Arial" w:eastAsia="Arial" w:hAnsi="Arial"/>
                <w:sz w:val="14"/>
                <w:szCs w:val="14"/>
                <w:b w:val="1"/>
                <w:bCs w:val="1"/>
                <w:color w:val="auto"/>
                <w:w w:val="98"/>
              </w:rPr>
              <w:t>Platform</w:t>
            </w:r>
          </w:p>
        </w:tc>
        <w:tc>
          <w:tcPr>
            <w:tcW w:w="112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Service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5"/>
          </w:tcPr>
          <w:p>
            <w:pPr>
              <w:jc w:val="center"/>
              <w:ind w:right="260"/>
              <w:spacing w:after="0" w:line="158" w:lineRule="exact"/>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December 31, 2018</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Collaboration Revenue</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€ 36,750</w:t>
            </w:r>
          </w:p>
        </w:tc>
        <w:tc>
          <w:tcPr>
            <w:tcW w:w="2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39,452</w:t>
            </w:r>
          </w:p>
        </w:tc>
        <w:tc>
          <w:tcPr>
            <w:tcW w:w="2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25,635</w:t>
            </w:r>
          </w:p>
        </w:tc>
        <w:tc>
          <w:tcPr>
            <w:tcW w:w="1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0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w w:val="94"/>
              </w:rPr>
              <w:t>€ 101,837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€ 101,837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Revenues from other sales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520"/>
              <w:spacing w:after="0"/>
              <w:rPr>
                <w:sz w:val="20"/>
                <w:szCs w:val="20"/>
                <w:color w:val="auto"/>
              </w:rPr>
            </w:pPr>
            <w:r>
              <w:rPr>
                <w:rFonts w:ascii="Arial" w:cs="Arial" w:eastAsia="Arial" w:hAnsi="Arial"/>
                <w:sz w:val="18"/>
                <w:szCs w:val="18"/>
                <w:color w:val="auto"/>
              </w:rPr>
              <w:t>transactions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6,783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18,914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25,738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25,738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9"/>
              </w:rPr>
              <w:t>(13,358)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(13,398)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€ 36,750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46,235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25,635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5,556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€ 114,177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€ 113,885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9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(48,641)</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(60,320)</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(31,508)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(1,979)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(143,332)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700"/>
              <w:spacing w:after="0"/>
              <w:rPr>
                <w:sz w:val="20"/>
                <w:szCs w:val="20"/>
                <w:color w:val="auto"/>
              </w:rPr>
            </w:pPr>
            <w:r>
              <w:rPr>
                <w:rFonts w:ascii="Arial" w:cs="Arial" w:eastAsia="Arial" w:hAnsi="Arial"/>
                <w:sz w:val="18"/>
                <w:szCs w:val="18"/>
                <w:color w:val="auto"/>
                <w:w w:val="99"/>
              </w:rPr>
              <w:t>Sales and marketing expenses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(2,106)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(935)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(3,041)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(21,233)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(2,542)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(26,334)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(26,334)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ind w:left="700"/>
              <w:spacing w:after="0"/>
              <w:rPr>
                <w:sz w:val="20"/>
                <w:szCs w:val="20"/>
                <w:color w:val="auto"/>
              </w:rPr>
            </w:pPr>
            <w:r>
              <w:rPr>
                <w:rFonts w:ascii="Arial" w:cs="Arial" w:eastAsia="Arial" w:hAnsi="Arial"/>
                <w:sz w:val="18"/>
                <w:szCs w:val="18"/>
                <w:color w:val="auto"/>
              </w:rPr>
              <w:t>Other result</w:t>
            </w:r>
          </w:p>
        </w:tc>
        <w:tc>
          <w:tcPr>
            <w:tcW w:w="4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559</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Segment operating profit/loss</w:t>
            </w:r>
          </w:p>
        </w:tc>
        <w:tc>
          <w:tcPr>
            <w:tcW w:w="9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 (8,119)</w:t>
            </w:r>
          </w:p>
        </w:tc>
        <w:tc>
          <w:tcPr>
            <w:tcW w:w="96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 (13,908)</w:t>
            </w: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(8,401)</w:t>
            </w:r>
          </w:p>
        </w:tc>
        <w:tc>
          <w:tcPr>
            <w:tcW w:w="96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(25,231)</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1,753</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(53,906)</w:t>
            </w: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(53,854)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External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9"/>
            <w:vMerge w:val="restart"/>
          </w:tcPr>
          <w:p>
            <w:pPr>
              <w:jc w:val="right"/>
              <w:ind w:right="160"/>
              <w:spacing w:after="0"/>
              <w:rPr>
                <w:sz w:val="20"/>
                <w:szCs w:val="20"/>
                <w:color w:val="auto"/>
              </w:rPr>
            </w:pPr>
            <w:r>
              <w:rPr>
                <w:rFonts w:ascii="Arial" w:cs="Arial" w:eastAsia="Arial" w:hAnsi="Arial"/>
                <w:sz w:val="14"/>
                <w:szCs w:val="14"/>
                <w:b w:val="1"/>
                <w:bCs w:val="1"/>
                <w:color w:val="auto"/>
                <w:w w:val="99"/>
              </w:rPr>
              <w:t>Biotech Business Unit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Business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9"/>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Unit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Clinical</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7"/>
          </w:tcPr>
          <w:p>
            <w:pPr>
              <w:ind w:left="160"/>
              <w:spacing w:after="0" w:line="119" w:lineRule="exact"/>
              <w:rPr>
                <w:sz w:val="20"/>
                <w:szCs w:val="20"/>
                <w:color w:val="auto"/>
              </w:rPr>
            </w:pPr>
            <w:r>
              <w:rPr>
                <w:rFonts w:ascii="Arial" w:cs="Arial" w:eastAsia="Arial" w:hAnsi="Arial"/>
                <w:sz w:val="13"/>
                <w:szCs w:val="13"/>
                <w:b w:val="1"/>
                <w:bCs w:val="1"/>
                <w:color w:val="auto"/>
              </w:rPr>
              <w:t>Technology</w:t>
            </w:r>
          </w:p>
        </w:tc>
        <w:tc>
          <w:tcPr>
            <w:tcW w:w="1120" w:type="dxa"/>
            <w:vAlign w:val="bottom"/>
            <w:gridSpan w:val="7"/>
            <w:vMerge w:val="restart"/>
          </w:tcPr>
          <w:p>
            <w:pPr>
              <w:jc w:val="right"/>
              <w:ind w:right="13"/>
              <w:spacing w:after="0"/>
              <w:rPr>
                <w:sz w:val="20"/>
                <w:szCs w:val="20"/>
                <w:color w:val="auto"/>
              </w:rPr>
            </w:pPr>
            <w:r>
              <w:rPr>
                <w:rFonts w:ascii="Arial" w:cs="Arial" w:eastAsia="Arial" w:hAnsi="Arial"/>
                <w:sz w:val="14"/>
                <w:szCs w:val="14"/>
                <w:b w:val="1"/>
                <w:bCs w:val="1"/>
                <w:color w:val="auto"/>
              </w:rPr>
              <w:t>Manufacturing</w:t>
            </w:r>
          </w:p>
        </w:tc>
        <w:tc>
          <w:tcPr>
            <w:tcW w:w="200" w:type="dxa"/>
            <w:vAlign w:val="bottom"/>
          </w:tcPr>
          <w:p>
            <w:pPr>
              <w:spacing w:after="0"/>
              <w:rPr>
                <w:sz w:val="10"/>
                <w:szCs w:val="10"/>
                <w:color w:val="auto"/>
              </w:rPr>
            </w:pPr>
          </w:p>
        </w:tc>
        <w:tc>
          <w:tcPr>
            <w:tcW w:w="66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Business</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External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94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Platform</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7"/>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ind w:left="100"/>
              <w:spacing w:after="0"/>
              <w:rPr>
                <w:sz w:val="20"/>
                <w:szCs w:val="20"/>
                <w:color w:val="auto"/>
              </w:rPr>
            </w:pPr>
            <w:r>
              <w:rPr>
                <w:rFonts w:ascii="Arial" w:cs="Arial" w:eastAsia="Arial" w:hAnsi="Arial"/>
                <w:sz w:val="14"/>
                <w:szCs w:val="14"/>
                <w:b w:val="1"/>
                <w:bCs w:val="1"/>
                <w:color w:val="auto"/>
                <w:w w:val="88"/>
              </w:rPr>
              <w:t>Service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Collaboration Revenue</w:t>
            </w:r>
          </w:p>
        </w:tc>
        <w:tc>
          <w:tcPr>
            <w:tcW w:w="4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8"/>
              <w:spacing w:after="0"/>
              <w:rPr>
                <w:sz w:val="20"/>
                <w:szCs w:val="20"/>
                <w:color w:val="auto"/>
              </w:rPr>
            </w:pPr>
            <w:r>
              <w:rPr>
                <w:rFonts w:ascii="Arial" w:cs="Arial" w:eastAsia="Arial" w:hAnsi="Arial"/>
                <w:sz w:val="18"/>
                <w:szCs w:val="18"/>
                <w:color w:val="auto"/>
              </w:rPr>
              <w:t>€ 25,721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14,504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€ 42,333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color w:val="auto"/>
                <w:w w:val="88"/>
              </w:rPr>
              <w:t>Revenues from other sales transactions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18,941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19,265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19,265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sales</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(9,318)</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(9,318)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3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€ 25,721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14,828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2,108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9,623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€ 52,280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€ 52,280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Research and development</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10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w w:val="92"/>
              </w:rPr>
              <w:t>(25,099)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2"/>
              </w:rPr>
              <w:t>(37,019)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(1,912)</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(85,496)</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ind w:left="700"/>
              <w:spacing w:after="0"/>
              <w:rPr>
                <w:sz w:val="20"/>
                <w:szCs w:val="20"/>
                <w:color w:val="auto"/>
              </w:rPr>
            </w:pPr>
            <w:r>
              <w:rPr>
                <w:rFonts w:ascii="Arial" w:cs="Arial" w:eastAsia="Arial" w:hAnsi="Arial"/>
                <w:sz w:val="18"/>
                <w:szCs w:val="18"/>
                <w:color w:val="auto"/>
                <w:w w:val="99"/>
              </w:rPr>
              <w:t>Sales and marketing expenses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(4,904)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94"/>
              </w:rPr>
              <w:t>(1,698)</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(6,603)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shd w:val="clear" w:color="auto" w:fill="CCEEFF"/>
          </w:tcPr>
          <w:p>
            <w:pPr>
              <w:ind w:left="700"/>
              <w:spacing w:after="0" w:line="201" w:lineRule="exact"/>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(20,309)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(2,427)</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(23,520)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ind w:left="700"/>
              <w:spacing w:after="0"/>
              <w:rPr>
                <w:sz w:val="20"/>
                <w:szCs w:val="20"/>
                <w:color w:val="auto"/>
              </w:rPr>
            </w:pPr>
            <w:r>
              <w:rPr>
                <w:rFonts w:ascii="Arial" w:cs="Arial" w:eastAsia="Arial" w:hAnsi="Arial"/>
                <w:sz w:val="18"/>
                <w:szCs w:val="18"/>
                <w:color w:val="auto"/>
              </w:rPr>
              <w:t>Other result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Segment operating profit/loss</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623</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2"/>
              </w:rPr>
              <w:t>(21,414)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(13,441)</w:t>
            </w:r>
          </w:p>
        </w:tc>
        <w:tc>
          <w:tcPr>
            <w:tcW w:w="9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(31,094)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(61,277)</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(61,277)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segments are managed based on external sales and operating profit/loss, which represents the operating profit earned by each segment.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Segment figures are reported consolidated, which reflects the way management steers the business.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240" w:top="459" w:right="41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BioNTech’s internal reporting is generally set up in accordance with IFRS and in line with the Group’s accounting policies, except for minor deviations in classification between cost of sales and research and development cost. Whenever revenues are attributable to different segments, these revenues are split based on the incurred cost. Internal overhead costs are allocated to segments based on revenues when they are directly attributable to a service rendered. Sales and marketing expenses, general and administrative expenses and the other result that are not directly attributable to one of the segments are allocated to Business Service.</w:t>
      </w:r>
    </w:p>
    <w:p>
      <w:pPr>
        <w:spacing w:after="0" w:line="18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To reconcile the segment figures to the Group’s financial statements in 2018, the presentation of k€292 of research and development cost was adjusted.</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Revenue at BioNTech can be differentiated between revenues resulting from collaboration and license agreements and revenues from other sales. The Company collaborates with reputable pharmaceutical and healthcare companies and several global academic collaborators. Revenues from other sales result from the sale of medical products (</w:t>
      </w:r>
      <w:r>
        <w:rPr>
          <w:rFonts w:ascii="Arial" w:cs="Arial" w:eastAsia="Arial" w:hAnsi="Arial"/>
          <w:sz w:val="18"/>
          <w:szCs w:val="18"/>
          <w:i w:val="1"/>
          <w:iCs w:val="1"/>
          <w:color w:val="auto"/>
        </w:rPr>
        <w:t>e.g.</w:t>
      </w:r>
      <w:r>
        <w:rPr>
          <w:rFonts w:ascii="Arial" w:cs="Arial" w:eastAsia="Arial" w:hAnsi="Arial"/>
          <w:sz w:val="18"/>
          <w:szCs w:val="18"/>
          <w:color w:val="auto"/>
        </w:rPr>
        <w:t>, peptides and retroviral vectors) for clinical supply. Research and development activities are managed on a worldwide basis but the operative manufacturing facilities and sales offices are located and managed in Germany. External sales are originated in Germany.</w:t>
      </w:r>
    </w:p>
    <w:p>
      <w:pPr>
        <w:spacing w:after="0" w:line="33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Related party disclosures</w:t>
      </w:r>
    </w:p>
    <w:p>
      <w:pPr>
        <w:spacing w:after="0" w:line="1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Parent and ultimate controlling party</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Members of the Strüngmann family wholly own AT Impf GmbH. Dr. Andreas Strüngmann and Dr. Thomas Strüngmann may be deemed to beneficially own any or all of these shares.</w:t>
      </w:r>
    </w:p>
    <w:p>
      <w:pPr>
        <w:spacing w:after="0" w:line="31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Transactions with key management personnel</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management personnel compensation</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Key management personnel at BioNTech has been defined as the members of the Management Board and of the Supervisory Board. Key management personnel compensation is comprised of the following:</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540" w:type="dxa"/>
            <w:vAlign w:val="bottom"/>
            <w:gridSpan w:val="3"/>
          </w:tcPr>
          <w:p>
            <w:pPr>
              <w:spacing w:after="0"/>
              <w:rPr>
                <w:sz w:val="20"/>
                <w:szCs w:val="20"/>
                <w:color w:val="auto"/>
              </w:rPr>
            </w:pPr>
            <w:r>
              <w:rPr>
                <w:rFonts w:ascii="Arial" w:cs="Arial" w:eastAsia="Arial" w:hAnsi="Arial"/>
                <w:sz w:val="14"/>
                <w:szCs w:val="14"/>
                <w:b w:val="1"/>
                <w:bCs w:val="1"/>
                <w:color w:val="auto"/>
              </w:rPr>
              <w:t>Compensation of key management personnel</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55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8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Short-term employee benefits</w:t>
            </w: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€1,161</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880</w:t>
            </w:r>
          </w:p>
        </w:tc>
        <w:tc>
          <w:tcPr>
            <w:tcW w:w="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1,855</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compensation paid to key management personnel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7,324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2,735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Executive officers also participate in the Group’s ESOP and SAR program (see Note 16).</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management personnel transactions</w:t>
      </w:r>
    </w:p>
    <w:p>
      <w:pPr>
        <w:spacing w:after="0" w:line="121" w:lineRule="exact"/>
        <w:rPr>
          <w:sz w:val="20"/>
          <w:szCs w:val="20"/>
          <w:color w:val="auto"/>
        </w:rPr>
      </w:pPr>
    </w:p>
    <w:p>
      <w:pPr>
        <w:ind w:left="200" w:right="740" w:firstLine="441"/>
        <w:spacing w:after="0" w:line="342" w:lineRule="auto"/>
        <w:rPr>
          <w:sz w:val="20"/>
          <w:szCs w:val="20"/>
          <w:color w:val="auto"/>
        </w:rPr>
      </w:pPr>
      <w:r>
        <w:rPr>
          <w:rFonts w:ascii="Arial" w:cs="Arial" w:eastAsia="Arial" w:hAnsi="Arial"/>
          <w:sz w:val="16"/>
          <w:szCs w:val="16"/>
          <w:color w:val="auto"/>
        </w:rPr>
        <w:t>A number of key management personnel, or their related parties, hold positions in other companies that results in them having control or significant influence over these companies. A number of these companies have had transactions with the Group during the year.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Group purchases various goods and services from research institutes where a director of BioNTech holds a key management position.</w:t>
      </w:r>
    </w:p>
    <w:p>
      <w:pPr>
        <w:sectPr>
          <w:pgSz w:w="11900" w:h="16838" w:orient="portrait"/>
          <w:cols w:equalWidth="0" w:num="1">
            <w:col w:w="11200"/>
          </w:cols>
          <w:pgMar w:left="240" w:top="460" w:right="459" w:bottom="1440" w:gutter="0" w:footer="0" w:header="0"/>
        </w:sectPr>
      </w:pP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aggregate value of transactions related to key management personnel were as follows:</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4"/>
          <w:szCs w:val="14"/>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wp:posOffset>
            </wp:positionV>
            <wp:extent cx="6997700" cy="1460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Consulting services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Purchases of various goods and services from TRON</w:t>
      </w:r>
    </w:p>
    <w:p>
      <w:pPr>
        <w:spacing w:after="0" w:line="1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gridSpan w:val="3"/>
          </w:tcPr>
          <w:p>
            <w:pPr>
              <w:jc w:val="center"/>
              <w:ind w:left="159"/>
              <w:spacing w:after="0" w:line="149" w:lineRule="exact"/>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11,160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bl>
    <w:p>
      <w:pPr>
        <w:sectPr>
          <w:pgSz w:w="11900" w:h="16838" w:orient="portrait"/>
          <w:cols w:equalWidth="0" w:num="2">
            <w:col w:w="8200" w:space="720"/>
            <w:col w:w="2280"/>
          </w:cols>
          <w:pgMar w:left="240" w:top="460" w:right="459" w:bottom="1440" w:gutter="0" w:footer="0" w:header="0"/>
          <w:type w:val="continuous"/>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w w:val="91"/>
              </w:rPr>
              <w:t>20.3</w:t>
            </w:r>
          </w:p>
        </w:tc>
        <w:tc>
          <w:tcPr>
            <w:tcW w:w="7480" w:type="dxa"/>
            <w:vAlign w:val="bottom"/>
          </w:tcPr>
          <w:p>
            <w:pPr>
              <w:ind w:left="440"/>
              <w:spacing w:after="0"/>
              <w:rPr>
                <w:sz w:val="20"/>
                <w:szCs w:val="20"/>
                <w:color w:val="auto"/>
              </w:rPr>
            </w:pPr>
            <w:r>
              <w:rPr>
                <w:rFonts w:ascii="Arial" w:cs="Arial" w:eastAsia="Arial" w:hAnsi="Arial"/>
                <w:sz w:val="18"/>
                <w:szCs w:val="18"/>
                <w:b w:val="1"/>
                <w:bCs w:val="1"/>
                <w:color w:val="auto"/>
              </w:rPr>
              <w:t>Other related party transactions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w w:val="93"/>
              </w:rPr>
              <w:t>The total amount of transactions with AT Impf GmbH or entities controlled by them was as follows:.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8"/>
          </w:tcPr>
          <w:p>
            <w:pPr>
              <w:ind w:left="240"/>
              <w:spacing w:after="0"/>
              <w:rPr>
                <w:sz w:val="20"/>
                <w:szCs w:val="20"/>
                <w:color w:val="auto"/>
              </w:rPr>
            </w:pPr>
            <w:r>
              <w:rPr>
                <w:rFonts w:ascii="Arial" w:cs="Arial" w:eastAsia="Arial" w:hAnsi="Arial"/>
                <w:sz w:val="14"/>
                <w:szCs w:val="14"/>
                <w:b w:val="1"/>
                <w:bCs w:val="1"/>
                <w:color w:val="auto"/>
              </w:rPr>
              <w:t>Transaction values for 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6"/>
              </w:rPr>
              <w:t>2018</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2017</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7820" w:type="dxa"/>
            <w:vAlign w:val="bottom"/>
            <w:gridSpan w:val="3"/>
          </w:tcPr>
          <w:p>
            <w:pPr>
              <w:spacing w:after="0" w:line="149"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1 January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various goods and services from entities controlled by AT Impf GmbH</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2,431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Purchases of property and other assets from entities controlled by AT Impf GmbH</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4,748</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7,179</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the balances are secured and no bad debt expense has been recognized in respect of amounts owed by related parties.</w:t>
      </w:r>
    </w:p>
    <w:p>
      <w:pPr>
        <w:spacing w:after="0" w:line="37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Events after the reporting period</w:t>
      </w:r>
    </w:p>
    <w:p>
      <w:pPr>
        <w:spacing w:after="0" w:line="135" w:lineRule="exact"/>
        <w:rPr>
          <w:sz w:val="20"/>
          <w:szCs w:val="20"/>
          <w:color w:val="auto"/>
        </w:rPr>
      </w:pPr>
    </w:p>
    <w:p>
      <w:pPr>
        <w:ind w:left="740" w:right="480" w:hanging="539"/>
        <w:spacing w:after="0" w:line="277" w:lineRule="auto"/>
        <w:tabs>
          <w:tab w:leader="none" w:pos="720" w:val="left"/>
        </w:tabs>
        <w:rPr>
          <w:sz w:val="20"/>
          <w:szCs w:val="20"/>
          <w:color w:val="auto"/>
        </w:rPr>
      </w:pPr>
      <w:r>
        <w:rPr>
          <w:rFonts w:ascii="Arial" w:cs="Arial" w:eastAsia="Arial" w:hAnsi="Arial"/>
          <w:sz w:val="18"/>
          <w:szCs w:val="18"/>
          <w:color w:val="auto"/>
        </w:rPr>
        <w:t>21.1</w:t>
        <w:tab/>
        <w:t>In January 2019, BioNTech entered into an agreement to acquire MAB Discovery GmbH’s operational antibody generation unit based near Munich, Germany for a total consideration of €6 million. The acquisition was completed on April 1, 2019.</w:t>
      </w:r>
    </w:p>
    <w:p>
      <w:pPr>
        <w:spacing w:after="0" w:line="76"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In January 2019, BioNTech AG increased its Share Capital by k€5,088 in conjunction with a receipt of a cash investment of k€80,000.</w:t>
      </w:r>
    </w:p>
    <w:p>
      <w:pPr>
        <w:spacing w:after="0" w:line="131" w:lineRule="exact"/>
        <w:rPr>
          <w:sz w:val="20"/>
          <w:szCs w:val="20"/>
          <w:color w:val="auto"/>
        </w:rPr>
      </w:pPr>
    </w:p>
    <w:p>
      <w:pPr>
        <w:jc w:val="both"/>
        <w:ind w:left="740" w:right="20" w:hanging="539"/>
        <w:spacing w:after="0" w:line="264" w:lineRule="auto"/>
        <w:tabs>
          <w:tab w:leader="none" w:pos="720" w:val="left"/>
        </w:tabs>
        <w:rPr>
          <w:sz w:val="20"/>
          <w:szCs w:val="20"/>
          <w:color w:val="auto"/>
        </w:rPr>
      </w:pPr>
      <w:r>
        <w:rPr>
          <w:rFonts w:ascii="Arial" w:cs="Arial" w:eastAsia="Arial" w:hAnsi="Arial"/>
          <w:sz w:val="18"/>
          <w:szCs w:val="18"/>
          <w:color w:val="auto"/>
        </w:rPr>
        <w:t>21.3</w:t>
        <w:tab/>
        <w:t>In March 2019, BioNTech AG changed its legal form to a European company (</w:t>
      </w:r>
      <w:r>
        <w:rPr>
          <w:rFonts w:ascii="Arial" w:cs="Arial" w:eastAsia="Arial" w:hAnsi="Arial"/>
          <w:sz w:val="18"/>
          <w:szCs w:val="18"/>
          <w:i w:val="1"/>
          <w:iCs w:val="1"/>
          <w:color w:val="auto"/>
        </w:rPr>
        <w:t>Societas Europaea</w:t>
      </w:r>
      <w:r>
        <w:rPr>
          <w:rFonts w:ascii="Arial" w:cs="Arial" w:eastAsia="Arial" w:hAnsi="Arial"/>
          <w:sz w:val="18"/>
          <w:szCs w:val="18"/>
          <w:color w:val="auto"/>
        </w:rPr>
        <w:t xml:space="preserve"> or “SE”). As an SE, BioNTech will be a public limited company under EU law. The supranational aspect of this legal form represents an international focus with Europe as the company’s base, and is the next logical step in the development of BioNTech’s worldwide operations.</w:t>
      </w:r>
    </w:p>
    <w:p>
      <w:pPr>
        <w:spacing w:after="0" w:line="87" w:lineRule="exact"/>
        <w:rPr>
          <w:sz w:val="20"/>
          <w:szCs w:val="20"/>
          <w:color w:val="auto"/>
        </w:rPr>
      </w:pPr>
    </w:p>
    <w:p>
      <w:pPr>
        <w:ind w:left="740" w:right="420" w:hanging="539"/>
        <w:spacing w:after="0" w:line="277" w:lineRule="auto"/>
        <w:tabs>
          <w:tab w:leader="none" w:pos="720" w:val="left"/>
        </w:tabs>
        <w:rPr>
          <w:sz w:val="20"/>
          <w:szCs w:val="20"/>
          <w:color w:val="auto"/>
        </w:rPr>
      </w:pPr>
      <w:r>
        <w:rPr>
          <w:rFonts w:ascii="Arial" w:cs="Arial" w:eastAsia="Arial" w:hAnsi="Arial"/>
          <w:sz w:val="18"/>
          <w:szCs w:val="18"/>
          <w:color w:val="auto"/>
        </w:rPr>
        <w:t>21.4</w:t>
        <w:tab/>
        <w:t>In March 2019, BioNTech AG increased its share capital by k€2,375. In this transaction, an investor exchanged its shares in a subsidiary for shares of the parent company.</w:t>
      </w:r>
    </w:p>
    <w:p>
      <w:pPr>
        <w:spacing w:after="0" w:line="76"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In May 2019, BioNTech entered into an agreement to purchase the assets of MabVax Therapeutics, Inc. The acquisition was completed on May</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8, 2019. The total purchase price was $5 million.</w:t>
      </w:r>
    </w:p>
    <w:p>
      <w:pPr>
        <w:spacing w:after="0" w:line="116" w:lineRule="exact"/>
        <w:rPr>
          <w:sz w:val="20"/>
          <w:szCs w:val="20"/>
          <w:color w:val="auto"/>
        </w:rPr>
      </w:pPr>
    </w:p>
    <w:p>
      <w:pPr>
        <w:ind w:left="200"/>
        <w:spacing w:after="0"/>
        <w:tabs>
          <w:tab w:leader="none" w:pos="7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In June 2019, BioNTech SE increased its share capital by k€11,990 in conjunction with the Series B financing.</w:t>
      </w:r>
    </w:p>
    <w:p>
      <w:pPr>
        <w:spacing w:after="0" w:line="131" w:lineRule="exact"/>
        <w:rPr>
          <w:sz w:val="20"/>
          <w:szCs w:val="20"/>
          <w:color w:val="auto"/>
        </w:rPr>
      </w:pPr>
    </w:p>
    <w:p>
      <w:pPr>
        <w:jc w:val="both"/>
        <w:ind w:left="740" w:right="220" w:hanging="539"/>
        <w:spacing w:after="0" w:line="312" w:lineRule="auto"/>
        <w:tabs>
          <w:tab w:leader="none" w:pos="7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On September 18, 2019, BioNTech effected a 1:18 share split by issuing 206,595,492 shares by way of a capital increase from our funds; thus, no contribution by investors was made. This capital increase came into effect upon registration with the commercial register (Handelsregister). The accompanying financial statements and notes to the financial statements give retroactive effect to the share split for all periods presented.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240" w:top="459" w:right="419" w:bottom="1440" w:gutter="0" w:footer="0" w:header="0"/>
        </w:sectPr>
      </w:pPr>
    </w:p>
    <w:bookmarkStart w:id="383" w:name="page384"/>
    <w:bookmarkEnd w:id="3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10,000,000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554990</wp:posOffset>
            </wp:positionV>
            <wp:extent cx="2830195" cy="3175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8301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Representing 10,000,000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1041400</wp:posOffset>
            </wp:positionV>
            <wp:extent cx="146621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tabs>
          <w:tab w:leader="none" w:pos="3360" w:val="left"/>
          <w:tab w:leader="none" w:pos="6740" w:val="left"/>
          <w:tab w:leader="none" w:pos="980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5"/>
          <w:szCs w:val="25"/>
          <w:b w:val="1"/>
          <w:bCs w:val="1"/>
          <w:color w:val="auto"/>
        </w:rPr>
        <w:t>UBS Investment Bank</w:t>
      </w:r>
      <w:r>
        <w:rPr>
          <w:sz w:val="20"/>
          <w:szCs w:val="20"/>
          <w:color w:val="auto"/>
        </w:rPr>
        <w:tab/>
      </w:r>
      <w:r>
        <w:rPr>
          <w:rFonts w:ascii="Arial" w:cs="Arial" w:eastAsia="Arial" w:hAnsi="Arial"/>
          <w:sz w:val="23"/>
          <w:szCs w:val="23"/>
          <w:b w:val="1"/>
          <w:bCs w:val="1"/>
          <w:color w:val="auto"/>
        </w:rPr>
        <w:t>SVB Leerink</w:t>
      </w:r>
    </w:p>
    <w:p>
      <w:pPr>
        <w:spacing w:after="0" w:line="122" w:lineRule="exact"/>
        <w:rPr>
          <w:sz w:val="20"/>
          <w:szCs w:val="20"/>
          <w:color w:val="auto"/>
        </w:rPr>
      </w:pPr>
    </w:p>
    <w:p>
      <w:pPr>
        <w:ind w:left="1040"/>
        <w:spacing w:after="0"/>
        <w:tabs>
          <w:tab w:leader="none" w:pos="4660" w:val="left"/>
          <w:tab w:leader="none" w:pos="8920" w:val="left"/>
        </w:tabs>
        <w:rPr>
          <w:sz w:val="20"/>
          <w:szCs w:val="20"/>
          <w:color w:val="auto"/>
        </w:rPr>
      </w:pPr>
      <w:r>
        <w:rPr>
          <w:rFonts w:ascii="Arial" w:cs="Arial" w:eastAsia="Arial" w:hAnsi="Arial"/>
          <w:sz w:val="23"/>
          <w:szCs w:val="23"/>
          <w:b w:val="1"/>
          <w:bCs w:val="1"/>
          <w:color w:val="auto"/>
        </w:rPr>
        <w:t>Canaccord Genuity</w:t>
      </w:r>
      <w:r>
        <w:rPr>
          <w:sz w:val="20"/>
          <w:szCs w:val="20"/>
          <w:color w:val="auto"/>
        </w:rPr>
        <w:tab/>
      </w:r>
      <w:r>
        <w:rPr>
          <w:rFonts w:ascii="Arial" w:cs="Arial" w:eastAsia="Arial" w:hAnsi="Arial"/>
          <w:sz w:val="23"/>
          <w:szCs w:val="23"/>
          <w:b w:val="1"/>
          <w:bCs w:val="1"/>
          <w:color w:val="auto"/>
        </w:rPr>
        <w:t>Bryan, Garnier &amp; Co.</w:t>
      </w:r>
      <w:r>
        <w:rPr>
          <w:sz w:val="20"/>
          <w:szCs w:val="20"/>
          <w:color w:val="auto"/>
        </w:rPr>
        <w:tab/>
      </w:r>
      <w:r>
        <w:rPr>
          <w:rFonts w:ascii="Arial" w:cs="Arial" w:eastAsia="Arial" w:hAnsi="Arial"/>
          <w:sz w:val="20"/>
          <w:szCs w:val="20"/>
          <w:b w:val="1"/>
          <w:bCs w:val="1"/>
          <w:color w:val="auto"/>
        </w:rPr>
        <w:t>Berenberg</w:t>
      </w:r>
    </w:p>
    <w:p>
      <w:pPr>
        <w:spacing w:after="0" w:line="118" w:lineRule="exact"/>
        <w:rPr>
          <w:sz w:val="20"/>
          <w:szCs w:val="20"/>
          <w:color w:val="auto"/>
        </w:rPr>
      </w:pPr>
    </w:p>
    <w:p>
      <w:pPr>
        <w:ind w:left="320"/>
        <w:spacing w:after="0"/>
        <w:tabs>
          <w:tab w:leader="none" w:pos="5360" w:val="left"/>
          <w:tab w:leader="none" w:pos="8400" w:val="left"/>
        </w:tabs>
        <w:rPr>
          <w:sz w:val="20"/>
          <w:szCs w:val="20"/>
          <w:color w:val="auto"/>
        </w:rPr>
      </w:pPr>
      <w:r>
        <w:rPr>
          <w:rFonts w:ascii="Arial" w:cs="Arial" w:eastAsia="Arial" w:hAnsi="Arial"/>
          <w:sz w:val="22"/>
          <w:szCs w:val="22"/>
          <w:b w:val="1"/>
          <w:bCs w:val="1"/>
          <w:color w:val="auto"/>
        </w:rPr>
        <w:t>Wolfe Capital Markets and Advisory</w:t>
      </w:r>
      <w:r>
        <w:rPr>
          <w:sz w:val="20"/>
          <w:szCs w:val="20"/>
          <w:color w:val="auto"/>
        </w:rPr>
        <w:tab/>
      </w:r>
      <w:r>
        <w:rPr>
          <w:rFonts w:ascii="Arial" w:cs="Arial" w:eastAsia="Arial" w:hAnsi="Arial"/>
          <w:sz w:val="22"/>
          <w:szCs w:val="22"/>
          <w:b w:val="1"/>
          <w:bCs w:val="1"/>
          <w:color w:val="auto"/>
        </w:rPr>
        <w:t>Kempen</w:t>
      </w:r>
      <w:r>
        <w:rPr>
          <w:sz w:val="20"/>
          <w:szCs w:val="20"/>
          <w:color w:val="auto"/>
        </w:rPr>
        <w:tab/>
      </w:r>
      <w:r>
        <w:rPr>
          <w:rFonts w:ascii="Arial" w:cs="Arial" w:eastAsia="Arial" w:hAnsi="Arial"/>
          <w:sz w:val="19"/>
          <w:szCs w:val="19"/>
          <w:b w:val="1"/>
          <w:bCs w:val="1"/>
          <w:color w:val="auto"/>
        </w:rPr>
        <w:t>Mirae Asset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860425</wp:posOffset>
            </wp:positionV>
            <wp:extent cx="146621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October 9, 2019</w:t>
      </w:r>
    </w:p>
    <w:p>
      <w:pPr>
        <w:spacing w:after="0" w:line="22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Through and including November 3, 2019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647065</wp:posOffset>
            </wp:positionV>
            <wp:extent cx="6997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707390</wp:posOffset>
            </wp:positionV>
            <wp:extent cx="6997700"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B867D3"/>
    <w:multiLevelType w:val="hybridMultilevel"/>
    <w:lvl w:ilvl="0">
      <w:lvlJc w:val="left"/>
      <w:lvlText w:val="(%1)"/>
      <w:numFmt w:val="decimal"/>
      <w:start w:val="1"/>
    </w:lvl>
  </w:abstractNum>
  <w:abstractNum w:abstractNumId="1">
    <w:nsid w:val="3F7F5DD9"/>
    <w:multiLevelType w:val="hybridMultilevel"/>
    <w:lvl w:ilvl="0">
      <w:lvlJc w:val="left"/>
      <w:lvlText w:val="•"/>
      <w:numFmt w:val="bullet"/>
      <w:start w:val="1"/>
    </w:lvl>
  </w:abstractNum>
  <w:abstractNum w:abstractNumId="2">
    <w:nsid w:val="2AE05A34"/>
    <w:multiLevelType w:val="hybridMultilevel"/>
    <w:lvl w:ilvl="0">
      <w:lvlJc w:val="left"/>
      <w:lvlText w:val="•"/>
      <w:numFmt w:val="bullet"/>
      <w:start w:val="1"/>
    </w:lvl>
  </w:abstractNum>
  <w:abstractNum w:abstractNumId="3">
    <w:nsid w:val="32794FF7"/>
    <w:multiLevelType w:val="hybridMultilevel"/>
    <w:lvl w:ilvl="0">
      <w:lvlJc w:val="left"/>
      <w:lvlText w:val="1"/>
      <w:numFmt w:val="bullet"/>
      <w:start w:val="1"/>
    </w:lvl>
  </w:abstractNum>
  <w:abstractNum w:abstractNumId="4">
    <w:nsid w:val="5454945E"/>
    <w:multiLevelType w:val="hybridMultilevel"/>
    <w:lvl w:ilvl="0">
      <w:lvlJc w:val="left"/>
      <w:lvlText w:val="•"/>
      <w:numFmt w:val="bullet"/>
      <w:start w:val="1"/>
    </w:lvl>
  </w:abstractNum>
  <w:abstractNum w:abstractNumId="5">
    <w:nsid w:val="4DEFDFA0"/>
    <w:multiLevelType w:val="hybridMultilevel"/>
    <w:lvl w:ilvl="0">
      <w:lvlJc w:val="left"/>
      <w:lvlText w:val="•"/>
      <w:numFmt w:val="bullet"/>
      <w:start w:val="1"/>
    </w:lvl>
  </w:abstractNum>
  <w:abstractNum w:abstractNumId="6">
    <w:nsid w:val="2123D5F2"/>
    <w:multiLevelType w:val="hybridMultilevel"/>
    <w:lvl w:ilvl="0">
      <w:lvlJc w:val="left"/>
      <w:lvlText w:val="•"/>
      <w:numFmt w:val="bullet"/>
      <w:start w:val="1"/>
    </w:lvl>
  </w:abstractNum>
  <w:abstractNum w:abstractNumId="7">
    <w:nsid w:val="135B8110"/>
    <w:multiLevelType w:val="hybridMultilevel"/>
    <w:lvl w:ilvl="0">
      <w:lvlJc w:val="left"/>
      <w:lvlText w:val="•"/>
      <w:numFmt w:val="bullet"/>
      <w:start w:val="1"/>
    </w:lvl>
  </w:abstractNum>
  <w:abstractNum w:abstractNumId="8">
    <w:nsid w:val="94927A8"/>
    <w:multiLevelType w:val="hybridMultilevel"/>
    <w:lvl w:ilvl="0">
      <w:lvlJc w:val="left"/>
      <w:lvlText w:val="•"/>
      <w:numFmt w:val="bullet"/>
      <w:start w:val="1"/>
    </w:lvl>
  </w:abstractNum>
  <w:abstractNum w:abstractNumId="9">
    <w:nsid w:val="DCDF8F6"/>
    <w:multiLevelType w:val="hybridMultilevel"/>
    <w:lvl w:ilvl="0">
      <w:lvlJc w:val="left"/>
      <w:lvlText w:val="•"/>
      <w:numFmt w:val="bullet"/>
      <w:start w:val="1"/>
    </w:lvl>
  </w:abstractNum>
  <w:abstractNum w:abstractNumId="10">
    <w:nsid w:val="52D7B105"/>
    <w:multiLevelType w:val="hybridMultilevel"/>
    <w:lvl w:ilvl="0">
      <w:lvlJc w:val="left"/>
      <w:lvlText w:val="•"/>
      <w:numFmt w:val="bullet"/>
      <w:start w:val="1"/>
    </w:lvl>
  </w:abstractNum>
  <w:abstractNum w:abstractNumId="11">
    <w:nsid w:val="2E8A6394"/>
    <w:multiLevelType w:val="hybridMultilevel"/>
    <w:lvl w:ilvl="0">
      <w:lvlJc w:val="left"/>
      <w:lvlText w:val="•"/>
      <w:numFmt w:val="bullet"/>
      <w:start w:val="1"/>
    </w:lvl>
  </w:abstractNum>
  <w:abstractNum w:abstractNumId="12">
    <w:nsid w:val="24E60401"/>
    <w:multiLevelType w:val="hybridMultilevel"/>
    <w:lvl w:ilvl="0">
      <w:lvlJc w:val="left"/>
      <w:lvlText w:val="•"/>
      <w:numFmt w:val="bullet"/>
      <w:start w:val="1"/>
    </w:lvl>
  </w:abstractNum>
  <w:abstractNum w:abstractNumId="13">
    <w:nsid w:val="2A6AD9BE"/>
    <w:multiLevelType w:val="hybridMultilevel"/>
    <w:lvl w:ilvl="0">
      <w:lvlJc w:val="left"/>
      <w:lvlText w:val="(%1)"/>
      <w:numFmt w:val="decimal"/>
      <w:start w:val="1"/>
    </w:lvl>
  </w:abstractNum>
  <w:abstractNum w:abstractNumId="14">
    <w:nsid w:val="BAAC1B4"/>
    <w:multiLevelType w:val="hybridMultilevel"/>
    <w:lvl w:ilvl="0">
      <w:lvlJc w:val="left"/>
      <w:lvlText w:val="•"/>
      <w:numFmt w:val="bullet"/>
      <w:start w:val="1"/>
    </w:lvl>
  </w:abstractNum>
  <w:abstractNum w:abstractNumId="15">
    <w:nsid w:val="36B2ACBC"/>
    <w:multiLevelType w:val="hybridMultilevel"/>
    <w:lvl w:ilvl="0">
      <w:lvlJc w:val="left"/>
      <w:lvlText w:val="•"/>
      <w:numFmt w:val="bullet"/>
      <w:start w:val="1"/>
    </w:lvl>
  </w:abstractNum>
  <w:abstractNum w:abstractNumId="16">
    <w:nsid w:val="779D8544"/>
    <w:multiLevelType w:val="hybridMultilevel"/>
    <w:lvl w:ilvl="0">
      <w:lvlJc w:val="left"/>
      <w:lvlText w:val="•"/>
      <w:numFmt w:val="bullet"/>
      <w:start w:val="1"/>
    </w:lvl>
  </w:abstractNum>
  <w:abstractNum w:abstractNumId="17">
    <w:nsid w:val="4AB26E78"/>
    <w:multiLevelType w:val="hybridMultilevel"/>
    <w:lvl w:ilvl="0">
      <w:lvlJc w:val="left"/>
      <w:lvlText w:val="•"/>
      <w:numFmt w:val="bullet"/>
      <w:start w:val="1"/>
    </w:lvl>
  </w:abstractNum>
  <w:abstractNum w:abstractNumId="18">
    <w:nsid w:val="21FAA2FA"/>
    <w:multiLevelType w:val="hybridMultilevel"/>
    <w:lvl w:ilvl="0">
      <w:lvlJc w:val="left"/>
      <w:lvlText w:val="•"/>
      <w:numFmt w:val="bullet"/>
      <w:start w:val="1"/>
    </w:lvl>
  </w:abstractNum>
  <w:abstractNum w:abstractNumId="19">
    <w:nsid w:val="5451CF49"/>
    <w:multiLevelType w:val="hybridMultilevel"/>
    <w:lvl w:ilvl="0">
      <w:lvlJc w:val="left"/>
      <w:lvlText w:val="•"/>
      <w:numFmt w:val="bullet"/>
      <w:start w:val="1"/>
    </w:lvl>
  </w:abstractNum>
  <w:abstractNum w:abstractNumId="20">
    <w:nsid w:val="6181EF69"/>
    <w:multiLevelType w:val="hybridMultilevel"/>
    <w:lvl w:ilvl="0">
      <w:lvlJc w:val="left"/>
      <w:lvlText w:val="•"/>
      <w:numFmt w:val="bullet"/>
      <w:start w:val="1"/>
    </w:lvl>
  </w:abstractNum>
  <w:abstractNum w:abstractNumId="21">
    <w:nsid w:val="3E6400E6"/>
    <w:multiLevelType w:val="hybridMultilevel"/>
    <w:lvl w:ilvl="0">
      <w:lvlJc w:val="left"/>
      <w:lvlText w:val="•"/>
      <w:numFmt w:val="bullet"/>
      <w:start w:val="1"/>
    </w:lvl>
  </w:abstractNum>
  <w:abstractNum w:abstractNumId="22">
    <w:nsid w:val="14217E23"/>
    <w:multiLevelType w:val="hybridMultilevel"/>
    <w:lvl w:ilvl="0">
      <w:lvlJc w:val="left"/>
      <w:lvlText w:val="•"/>
      <w:numFmt w:val="bullet"/>
      <w:start w:val="1"/>
    </w:lvl>
  </w:abstractNum>
  <w:abstractNum w:abstractNumId="23">
    <w:nsid w:val="710757D0"/>
    <w:multiLevelType w:val="hybridMultilevel"/>
    <w:lvl w:ilvl="0">
      <w:lvlJc w:val="left"/>
      <w:lvlText w:val="•"/>
      <w:numFmt w:val="bullet"/>
      <w:start w:val="1"/>
    </w:lvl>
  </w:abstractNum>
  <w:abstractNum w:abstractNumId="24">
    <w:nsid w:val="5015CD1A"/>
    <w:multiLevelType w:val="hybridMultilevel"/>
    <w:lvl w:ilvl="0">
      <w:lvlJc w:val="left"/>
      <w:lvlText w:val="•"/>
      <w:numFmt w:val="bullet"/>
      <w:start w:val="1"/>
    </w:lvl>
  </w:abstractNum>
  <w:abstractNum w:abstractNumId="25">
    <w:nsid w:val="424479DA"/>
    <w:multiLevelType w:val="hybridMultilevel"/>
    <w:lvl w:ilvl="0">
      <w:lvlJc w:val="left"/>
      <w:lvlText w:val="•"/>
      <w:numFmt w:val="bullet"/>
      <w:start w:val="1"/>
    </w:lvl>
  </w:abstractNum>
  <w:abstractNum w:abstractNumId="26">
    <w:nsid w:val="1A9A9E69"/>
    <w:multiLevelType w:val="hybridMultilevel"/>
    <w:lvl w:ilvl="0">
      <w:lvlJc w:val="left"/>
      <w:lvlText w:val="•"/>
      <w:numFmt w:val="bullet"/>
      <w:start w:val="1"/>
    </w:lvl>
  </w:abstractNum>
  <w:abstractNum w:abstractNumId="27">
    <w:nsid w:val="475E256A"/>
    <w:multiLevelType w:val="hybridMultilevel"/>
    <w:lvl w:ilvl="0">
      <w:lvlJc w:val="left"/>
      <w:lvlText w:val="•"/>
      <w:numFmt w:val="bullet"/>
      <w:start w:val="1"/>
    </w:lvl>
  </w:abstractNum>
  <w:abstractNum w:abstractNumId="28">
    <w:nsid w:val="368DB37E"/>
    <w:multiLevelType w:val="hybridMultilevel"/>
    <w:lvl w:ilvl="0">
      <w:lvlJc w:val="left"/>
      <w:lvlText w:val="•"/>
      <w:numFmt w:val="bullet"/>
      <w:start w:val="1"/>
    </w:lvl>
  </w:abstractNum>
  <w:abstractNum w:abstractNumId="29">
    <w:nsid w:val="6A3B714C"/>
    <w:multiLevelType w:val="hybridMultilevel"/>
    <w:lvl w:ilvl="0">
      <w:lvlJc w:val="left"/>
      <w:lvlText w:val="•"/>
      <w:numFmt w:val="bullet"/>
      <w:start w:val="1"/>
    </w:lvl>
  </w:abstractNum>
  <w:abstractNum w:abstractNumId="30">
    <w:nsid w:val="327B517E"/>
    <w:multiLevelType w:val="hybridMultilevel"/>
    <w:lvl w:ilvl="0">
      <w:lvlJc w:val="left"/>
      <w:lvlText w:val="•"/>
      <w:numFmt w:val="bullet"/>
      <w:start w:val="1"/>
    </w:lvl>
  </w:abstractNum>
  <w:abstractNum w:abstractNumId="31">
    <w:nsid w:val="1F461B51"/>
    <w:multiLevelType w:val="hybridMultilevel"/>
    <w:lvl w:ilvl="0">
      <w:lvlJc w:val="left"/>
      <w:lvlText w:val="•"/>
      <w:numFmt w:val="bullet"/>
      <w:start w:val="1"/>
    </w:lvl>
  </w:abstractNum>
  <w:abstractNum w:abstractNumId="32">
    <w:nsid w:val="29BACF25"/>
    <w:multiLevelType w:val="hybridMultilevel"/>
    <w:lvl w:ilvl="0">
      <w:lvlJc w:val="left"/>
      <w:lvlText w:val="•"/>
      <w:numFmt w:val="bullet"/>
      <w:start w:val="1"/>
    </w:lvl>
  </w:abstractNum>
  <w:abstractNum w:abstractNumId="33">
    <w:nsid w:val="5D5BABB3"/>
    <w:multiLevelType w:val="hybridMultilevel"/>
    <w:lvl w:ilvl="0">
      <w:lvlJc w:val="left"/>
      <w:lvlText w:val="•"/>
      <w:numFmt w:val="bullet"/>
      <w:start w:val="1"/>
    </w:lvl>
  </w:abstractNum>
  <w:abstractNum w:abstractNumId="34">
    <w:nsid w:val="51BF6B48"/>
    <w:multiLevelType w:val="hybridMultilevel"/>
    <w:lvl w:ilvl="0">
      <w:lvlJc w:val="left"/>
      <w:lvlText w:val="•"/>
      <w:numFmt w:val="bullet"/>
      <w:start w:val="1"/>
    </w:lvl>
  </w:abstractNum>
  <w:abstractNum w:abstractNumId="35">
    <w:nsid w:val="7E0F6384"/>
    <w:multiLevelType w:val="hybridMultilevel"/>
    <w:lvl w:ilvl="0">
      <w:lvlJc w:val="left"/>
      <w:lvlText w:val="•"/>
      <w:numFmt w:val="bullet"/>
      <w:start w:val="1"/>
    </w:lvl>
  </w:abstractNum>
  <w:abstractNum w:abstractNumId="36">
    <w:nsid w:val="2B4B8B53"/>
    <w:multiLevelType w:val="hybridMultilevel"/>
    <w:lvl w:ilvl="0">
      <w:lvlJc w:val="left"/>
      <w:lvlText w:val="•"/>
      <w:numFmt w:val="bullet"/>
      <w:start w:val="1"/>
    </w:lvl>
  </w:abstractNum>
  <w:abstractNum w:abstractNumId="37">
    <w:nsid w:val="72E3413A"/>
    <w:multiLevelType w:val="hybridMultilevel"/>
    <w:lvl w:ilvl="0">
      <w:lvlJc w:val="left"/>
      <w:lvlText w:val="•"/>
      <w:numFmt w:val="bullet"/>
      <w:start w:val="1"/>
    </w:lvl>
  </w:abstractNum>
  <w:abstractNum w:abstractNumId="38">
    <w:nsid w:val="116AE494"/>
    <w:multiLevelType w:val="hybridMultilevel"/>
    <w:lvl w:ilvl="0">
      <w:lvlJc w:val="left"/>
      <w:lvlText w:val="•"/>
      <w:numFmt w:val="bullet"/>
      <w:start w:val="1"/>
    </w:lvl>
  </w:abstractNum>
  <w:abstractNum w:abstractNumId="39">
    <w:nsid w:val="3494B2FB"/>
    <w:multiLevelType w:val="hybridMultilevel"/>
    <w:lvl w:ilvl="0">
      <w:lvlJc w:val="left"/>
      <w:lvlText w:val="•"/>
      <w:numFmt w:val="bullet"/>
      <w:start w:val="1"/>
    </w:lvl>
  </w:abstractNum>
  <w:abstractNum w:abstractNumId="40">
    <w:nsid w:val="B13A31"/>
    <w:multiLevelType w:val="hybridMultilevel"/>
    <w:lvl w:ilvl="0">
      <w:lvlJc w:val="left"/>
      <w:lvlText w:val="•"/>
      <w:numFmt w:val="bullet"/>
      <w:start w:val="1"/>
    </w:lvl>
  </w:abstractNum>
  <w:abstractNum w:abstractNumId="41">
    <w:nsid w:val="64429599"/>
    <w:multiLevelType w:val="hybridMultilevel"/>
    <w:lvl w:ilvl="0">
      <w:lvlJc w:val="left"/>
      <w:lvlText w:val="•"/>
      <w:numFmt w:val="bullet"/>
      <w:start w:val="1"/>
    </w:lvl>
  </w:abstractNum>
  <w:abstractNum w:abstractNumId="42">
    <w:nsid w:val="631F1690"/>
    <w:multiLevelType w:val="hybridMultilevel"/>
    <w:lvl w:ilvl="0">
      <w:lvlJc w:val="left"/>
      <w:lvlText w:val="•"/>
      <w:numFmt w:val="bullet"/>
      <w:start w:val="1"/>
    </w:lvl>
  </w:abstractNum>
  <w:abstractNum w:abstractNumId="43">
    <w:nsid w:val="25973E32"/>
    <w:multiLevelType w:val="hybridMultilevel"/>
    <w:lvl w:ilvl="0">
      <w:lvlJc w:val="left"/>
      <w:lvlText w:val="•"/>
      <w:numFmt w:val="bullet"/>
      <w:start w:val="1"/>
    </w:lvl>
  </w:abstractNum>
  <w:abstractNum w:abstractNumId="44">
    <w:nsid w:val="EAD6F57"/>
    <w:multiLevelType w:val="hybridMultilevel"/>
    <w:lvl w:ilvl="0">
      <w:lvlJc w:val="left"/>
      <w:lvlText w:val="•"/>
      <w:numFmt w:val="bullet"/>
      <w:start w:val="1"/>
    </w:lvl>
  </w:abstractNum>
  <w:abstractNum w:abstractNumId="45">
    <w:nsid w:val="6EC9D844"/>
    <w:multiLevelType w:val="hybridMultilevel"/>
    <w:lvl w:ilvl="0">
      <w:lvlJc w:val="left"/>
      <w:lvlText w:val="•"/>
      <w:numFmt w:val="bullet"/>
      <w:start w:val="1"/>
    </w:lvl>
  </w:abstractNum>
  <w:abstractNum w:abstractNumId="46">
    <w:nsid w:val="5C49EAEE"/>
    <w:multiLevelType w:val="hybridMultilevel"/>
    <w:lvl w:ilvl="0">
      <w:lvlJc w:val="left"/>
      <w:lvlText w:val="•"/>
      <w:numFmt w:val="bullet"/>
      <w:start w:val="1"/>
    </w:lvl>
  </w:abstractNum>
  <w:abstractNum w:abstractNumId="47">
    <w:nsid w:val="64AF49B"/>
    <w:multiLevelType w:val="hybridMultilevel"/>
    <w:lvl w:ilvl="0">
      <w:lvlJc w:val="left"/>
      <w:lvlText w:val="•"/>
      <w:numFmt w:val="bullet"/>
      <w:start w:val="1"/>
    </w:lvl>
  </w:abstractNum>
  <w:abstractNum w:abstractNumId="48">
    <w:nsid w:val="397C46BC"/>
    <w:multiLevelType w:val="hybridMultilevel"/>
    <w:lvl w:ilvl="0">
      <w:lvlJc w:val="left"/>
      <w:lvlText w:val="•"/>
      <w:numFmt w:val="bullet"/>
      <w:start w:val="1"/>
    </w:lvl>
  </w:abstractNum>
  <w:abstractNum w:abstractNumId="49">
    <w:nsid w:val="7E448DE9"/>
    <w:multiLevelType w:val="hybridMultilevel"/>
    <w:lvl w:ilvl="0">
      <w:lvlJc w:val="left"/>
      <w:lvlText w:val="•"/>
      <w:numFmt w:val="bullet"/>
      <w:start w:val="1"/>
    </w:lvl>
  </w:abstractNum>
  <w:abstractNum w:abstractNumId="50">
    <w:nsid w:val="5A9CC3E5"/>
    <w:multiLevelType w:val="hybridMultilevel"/>
    <w:lvl w:ilvl="0">
      <w:lvlJc w:val="left"/>
      <w:lvlText w:val="•"/>
      <w:numFmt w:val="bullet"/>
      <w:start w:val="1"/>
    </w:lvl>
  </w:abstractNum>
  <w:abstractNum w:abstractNumId="51">
    <w:nsid w:val="1AFE3625"/>
    <w:multiLevelType w:val="hybridMultilevel"/>
    <w:lvl w:ilvl="0">
      <w:lvlJc w:val="left"/>
      <w:lvlText w:val="•"/>
      <w:numFmt w:val="bullet"/>
      <w:start w:val="1"/>
    </w:lvl>
  </w:abstractNum>
  <w:abstractNum w:abstractNumId="52">
    <w:nsid w:val="3CA88ECF"/>
    <w:multiLevelType w:val="hybridMultilevel"/>
    <w:lvl w:ilvl="0">
      <w:lvlJc w:val="left"/>
      <w:lvlText w:val="•"/>
      <w:numFmt w:val="bullet"/>
      <w:start w:val="1"/>
    </w:lvl>
  </w:abstractNum>
  <w:abstractNum w:abstractNumId="53">
    <w:nsid w:val="6EBE4208"/>
    <w:multiLevelType w:val="hybridMultilevel"/>
    <w:lvl w:ilvl="0">
      <w:lvlJc w:val="left"/>
      <w:lvlText w:val="•"/>
      <w:numFmt w:val="bullet"/>
      <w:start w:val="1"/>
    </w:lvl>
  </w:abstractNum>
  <w:abstractNum w:abstractNumId="54">
    <w:nsid w:val="C058DF5"/>
    <w:multiLevelType w:val="hybridMultilevel"/>
    <w:lvl w:ilvl="0">
      <w:lvlJc w:val="left"/>
      <w:lvlText w:val="•"/>
      <w:numFmt w:val="bullet"/>
      <w:start w:val="1"/>
    </w:lvl>
  </w:abstractNum>
  <w:abstractNum w:abstractNumId="55">
    <w:nsid w:val="CBE5BE9"/>
    <w:multiLevelType w:val="hybridMultilevel"/>
    <w:lvl w:ilvl="0">
      <w:lvlJc w:val="left"/>
      <w:lvlText w:val="•"/>
      <w:numFmt w:val="bullet"/>
      <w:start w:val="1"/>
    </w:lvl>
  </w:abstractNum>
  <w:abstractNum w:abstractNumId="56">
    <w:nsid w:val="3102BBE2"/>
    <w:multiLevelType w:val="hybridMultilevel"/>
    <w:lvl w:ilvl="0">
      <w:lvlJc w:val="left"/>
      <w:lvlText w:val="•"/>
      <w:numFmt w:val="bullet"/>
      <w:start w:val="1"/>
    </w:lvl>
  </w:abstractNum>
  <w:abstractNum w:abstractNumId="57">
    <w:nsid w:val="26A02C5E"/>
    <w:multiLevelType w:val="hybridMultilevel"/>
    <w:lvl w:ilvl="0">
      <w:lvlJc w:val="left"/>
      <w:lvlText w:val="•"/>
      <w:numFmt w:val="bullet"/>
      <w:start w:val="1"/>
    </w:lvl>
  </w:abstractNum>
  <w:abstractNum w:abstractNumId="58">
    <w:nsid w:val="541C8153"/>
    <w:multiLevelType w:val="hybridMultilevel"/>
    <w:lvl w:ilvl="0">
      <w:lvlJc w:val="left"/>
      <w:lvlText w:val="•"/>
      <w:numFmt w:val="bullet"/>
      <w:start w:val="1"/>
    </w:lvl>
  </w:abstractNum>
  <w:abstractNum w:abstractNumId="59">
    <w:nsid w:val="67906F60"/>
    <w:multiLevelType w:val="hybridMultilevel"/>
    <w:lvl w:ilvl="0">
      <w:lvlJc w:val="left"/>
      <w:lvlText w:val="•"/>
      <w:numFmt w:val="bullet"/>
      <w:start w:val="1"/>
    </w:lvl>
  </w:abstractNum>
  <w:abstractNum w:abstractNumId="60">
    <w:nsid w:val="10DB9DAA"/>
    <w:multiLevelType w:val="hybridMultilevel"/>
    <w:lvl w:ilvl="0">
      <w:lvlJc w:val="left"/>
      <w:lvlText w:val="•"/>
      <w:numFmt w:val="bullet"/>
      <w:start w:val="1"/>
    </w:lvl>
  </w:abstractNum>
  <w:abstractNum w:abstractNumId="61">
    <w:nsid w:val="697D2D2"/>
    <w:multiLevelType w:val="hybridMultilevel"/>
    <w:lvl w:ilvl="0">
      <w:lvlJc w:val="left"/>
      <w:lvlText w:val="•"/>
      <w:numFmt w:val="bullet"/>
      <w:start w:val="1"/>
    </w:lvl>
  </w:abstractNum>
  <w:abstractNum w:abstractNumId="62">
    <w:nsid w:val="6D68AB2"/>
    <w:multiLevelType w:val="hybridMultilevel"/>
    <w:lvl w:ilvl="0">
      <w:lvlJc w:val="left"/>
      <w:lvlText w:val="•"/>
      <w:numFmt w:val="bullet"/>
      <w:start w:val="1"/>
    </w:lvl>
  </w:abstractNum>
  <w:abstractNum w:abstractNumId="63">
    <w:nsid w:val="3A966CD0"/>
    <w:multiLevelType w:val="hybridMultilevel"/>
    <w:lvl w:ilvl="0">
      <w:lvlJc w:val="left"/>
      <w:lvlText w:val="•"/>
      <w:numFmt w:val="bullet"/>
      <w:start w:val="1"/>
    </w:lvl>
  </w:abstractNum>
  <w:abstractNum w:abstractNumId="64">
    <w:nsid w:val="63F37E85"/>
    <w:multiLevelType w:val="hybridMultilevel"/>
    <w:lvl w:ilvl="0">
      <w:lvlJc w:val="left"/>
      <w:lvlText w:val="•"/>
      <w:numFmt w:val="bullet"/>
      <w:start w:val="1"/>
    </w:lvl>
  </w:abstractNum>
  <w:abstractNum w:abstractNumId="65">
    <w:nsid w:val="5895F5FA"/>
    <w:multiLevelType w:val="hybridMultilevel"/>
    <w:lvl w:ilvl="0">
      <w:lvlJc w:val="left"/>
      <w:lvlText w:val="•"/>
      <w:numFmt w:val="bullet"/>
      <w:start w:val="1"/>
    </w:lvl>
  </w:abstractNum>
  <w:abstractNum w:abstractNumId="66">
    <w:nsid w:val="38A5D054"/>
    <w:multiLevelType w:val="hybridMultilevel"/>
    <w:lvl w:ilvl="0">
      <w:lvlJc w:val="left"/>
      <w:lvlText w:val="(%1)"/>
      <w:numFmt w:val="decimal"/>
      <w:start w:val="1"/>
    </w:lvl>
  </w:abstractNum>
  <w:abstractNum w:abstractNumId="67">
    <w:nsid w:val="F3F09D8"/>
    <w:multiLevelType w:val="hybridMultilevel"/>
    <w:lvl w:ilvl="0">
      <w:lvlJc w:val="left"/>
      <w:lvlText w:val="•"/>
      <w:numFmt w:val="bullet"/>
      <w:start w:val="1"/>
    </w:lvl>
  </w:abstractNum>
  <w:abstractNum w:abstractNumId="68">
    <w:nsid w:val="4B793735"/>
    <w:multiLevelType w:val="hybridMultilevel"/>
    <w:lvl w:ilvl="0">
      <w:lvlJc w:val="left"/>
      <w:lvlText w:val="(%1)"/>
      <w:numFmt w:val="decimal"/>
      <w:start w:val="1"/>
    </w:lvl>
  </w:abstractNum>
  <w:abstractNum w:abstractNumId="69">
    <w:nsid w:val="4A10B4E8"/>
    <w:multiLevelType w:val="hybridMultilevel"/>
    <w:lvl w:ilvl="0">
      <w:lvlJc w:val="left"/>
      <w:lvlText w:val="•"/>
      <w:numFmt w:val="bullet"/>
      <w:start w:val="1"/>
    </w:lvl>
  </w:abstractNum>
  <w:abstractNum w:abstractNumId="70">
    <w:nsid w:val="43D3BCD4"/>
    <w:multiLevelType w:val="hybridMultilevel"/>
    <w:lvl w:ilvl="0">
      <w:lvlJc w:val="left"/>
      <w:lvlText w:val="•"/>
      <w:numFmt w:val="bullet"/>
      <w:start w:val="1"/>
    </w:lvl>
  </w:abstractNum>
  <w:abstractNum w:abstractNumId="71">
    <w:nsid w:val="4C2A7166"/>
    <w:multiLevelType w:val="hybridMultilevel"/>
    <w:lvl w:ilvl="0">
      <w:lvlJc w:val="left"/>
      <w:lvlText w:val="•"/>
      <w:numFmt w:val="bullet"/>
      <w:start w:val="1"/>
    </w:lvl>
  </w:abstractNum>
  <w:abstractNum w:abstractNumId="72">
    <w:nsid w:val="2E534A82"/>
    <w:multiLevelType w:val="hybridMultilevel"/>
    <w:lvl w:ilvl="0">
      <w:lvlJc w:val="left"/>
      <w:lvlText w:val="•"/>
      <w:numFmt w:val="bullet"/>
      <w:start w:val="1"/>
    </w:lvl>
  </w:abstractNum>
  <w:abstractNum w:abstractNumId="73">
    <w:nsid w:val="26F2D364"/>
    <w:multiLevelType w:val="hybridMultilevel"/>
    <w:lvl w:ilvl="0">
      <w:lvlJc w:val="left"/>
      <w:lvlText w:val="•"/>
      <w:numFmt w:val="bullet"/>
      <w:start w:val="1"/>
    </w:lvl>
  </w:abstractNum>
  <w:abstractNum w:abstractNumId="74">
    <w:nsid w:val="71C1AF98"/>
    <w:multiLevelType w:val="hybridMultilevel"/>
    <w:lvl w:ilvl="0">
      <w:lvlJc w:val="left"/>
      <w:lvlText w:val="•"/>
      <w:numFmt w:val="bullet"/>
      <w:start w:val="1"/>
    </w:lvl>
  </w:abstractNum>
  <w:abstractNum w:abstractNumId="75">
    <w:nsid w:val="3D00B9D9"/>
    <w:multiLevelType w:val="hybridMultilevel"/>
    <w:lvl w:ilvl="0">
      <w:lvlJc w:val="left"/>
      <w:lvlText w:val="•"/>
      <w:numFmt w:val="bullet"/>
      <w:start w:val="1"/>
    </w:lvl>
  </w:abstractNum>
  <w:abstractNum w:abstractNumId="76">
    <w:nsid w:val="15BCABA8"/>
    <w:multiLevelType w:val="hybridMultilevel"/>
    <w:lvl w:ilvl="0">
      <w:lvlJc w:val="left"/>
      <w:lvlText w:val="•"/>
      <w:numFmt w:val="bullet"/>
      <w:start w:val="1"/>
    </w:lvl>
  </w:abstractNum>
  <w:abstractNum w:abstractNumId="77">
    <w:nsid w:val="4E0B9A87"/>
    <w:multiLevelType w:val="hybridMultilevel"/>
    <w:lvl w:ilvl="0">
      <w:lvlJc w:val="left"/>
      <w:lvlText w:val="•"/>
      <w:numFmt w:val="bullet"/>
      <w:start w:val="1"/>
    </w:lvl>
  </w:abstractNum>
  <w:abstractNum w:abstractNumId="78">
    <w:nsid w:val="434BAE75"/>
    <w:multiLevelType w:val="hybridMultilevel"/>
    <w:lvl w:ilvl="0">
      <w:lvlJc w:val="left"/>
      <w:lvlText w:val="•"/>
      <w:numFmt w:val="bullet"/>
      <w:start w:val="1"/>
    </w:lvl>
  </w:abstractNum>
  <w:abstractNum w:abstractNumId="79">
    <w:nsid w:val="4F38F265"/>
    <w:multiLevelType w:val="hybridMultilevel"/>
    <w:lvl w:ilvl="0">
      <w:lvlJc w:val="left"/>
      <w:lvlText w:val="•"/>
      <w:numFmt w:val="bullet"/>
      <w:start w:val="1"/>
    </w:lvl>
  </w:abstractNum>
  <w:abstractNum w:abstractNumId="80">
    <w:nsid w:val="4C502870"/>
    <w:multiLevelType w:val="hybridMultilevel"/>
    <w:lvl w:ilvl="0">
      <w:lvlJc w:val="left"/>
      <w:lvlText w:val="•"/>
      <w:numFmt w:val="bullet"/>
      <w:start w:val="1"/>
    </w:lvl>
  </w:abstractNum>
  <w:abstractNum w:abstractNumId="81">
    <w:nsid w:val="1DE8725A"/>
    <w:multiLevelType w:val="hybridMultilevel"/>
    <w:lvl w:ilvl="0">
      <w:lvlJc w:val="left"/>
      <w:lvlText w:val="%1."/>
      <w:numFmt w:val="upperLetter"/>
      <w:start w:val="9"/>
    </w:lvl>
  </w:abstractNum>
  <w:abstractNum w:abstractNumId="82">
    <w:nsid w:val="6A37288A"/>
    <w:multiLevelType w:val="hybridMultilevel"/>
    <w:lvl w:ilvl="0">
      <w:lvlJc w:val="left"/>
      <w:lvlText w:val="•"/>
      <w:numFmt w:val="bullet"/>
      <w:start w:val="1"/>
    </w:lvl>
  </w:abstractNum>
  <w:abstractNum w:abstractNumId="83">
    <w:nsid w:val="8F8B73F"/>
    <w:multiLevelType w:val="hybridMultilevel"/>
    <w:lvl w:ilvl="0">
      <w:lvlJc w:val="left"/>
      <w:lvlText w:val="%1."/>
      <w:numFmt w:val="upperLetter"/>
      <w:start w:val="1"/>
    </w:lvl>
  </w:abstractNum>
  <w:abstractNum w:abstractNumId="84">
    <w:nsid w:val="CA6B462"/>
    <w:multiLevelType w:val="hybridMultilevel"/>
    <w:lvl w:ilvl="0">
      <w:lvlJc w:val="left"/>
      <w:lvlText w:val="1"/>
      <w:numFmt w:val="bullet"/>
      <w:start w:val="1"/>
    </w:lvl>
  </w:abstractNum>
  <w:abstractNum w:abstractNumId="85">
    <w:nsid w:val="763CB680"/>
    <w:multiLevelType w:val="hybridMultilevel"/>
    <w:lvl w:ilvl="0">
      <w:lvlJc w:val="left"/>
      <w:lvlText w:val="%1."/>
      <w:numFmt w:val="decimal"/>
      <w:start w:val="1"/>
    </w:lvl>
  </w:abstractNum>
  <w:abstractNum w:abstractNumId="86">
    <w:nsid w:val="15B71329"/>
    <w:multiLevelType w:val="hybridMultilevel"/>
    <w:lvl w:ilvl="0">
      <w:lvlJc w:val="left"/>
      <w:lvlText w:val="•"/>
      <w:numFmt w:val="bullet"/>
      <w:start w:val="1"/>
    </w:lvl>
  </w:abstractNum>
  <w:abstractNum w:abstractNumId="87">
    <w:nsid w:val="3DA97044"/>
    <w:multiLevelType w:val="hybridMultilevel"/>
    <w:lvl w:ilvl="0">
      <w:lvlJc w:val="left"/>
      <w:lvlText w:val="%1."/>
      <w:numFmt w:val="decimal"/>
      <w:start w:val="2"/>
    </w:lvl>
  </w:abstractNum>
  <w:abstractNum w:abstractNumId="88">
    <w:nsid w:val="1CDCE2DE"/>
    <w:multiLevelType w:val="hybridMultilevel"/>
    <w:lvl w:ilvl="0">
      <w:lvlJc w:val="left"/>
      <w:lvlText w:val="•"/>
      <w:numFmt w:val="bullet"/>
      <w:start w:val="1"/>
    </w:lvl>
  </w:abstractNum>
  <w:abstractNum w:abstractNumId="89">
    <w:nsid w:val="69D3947C"/>
    <w:multiLevelType w:val="hybridMultilevel"/>
    <w:lvl w:ilvl="0">
      <w:lvlJc w:val="left"/>
      <w:lvlText w:val="%1."/>
      <w:numFmt w:val="decimal"/>
      <w:start w:val="3"/>
    </w:lvl>
  </w:abstractNum>
  <w:abstractNum w:abstractNumId="90">
    <w:nsid w:val="2539DFA5"/>
    <w:multiLevelType w:val="hybridMultilevel"/>
    <w:lvl w:ilvl="0">
      <w:lvlJc w:val="left"/>
      <w:lvlText w:val="%1."/>
      <w:numFmt w:val="upperLetter"/>
      <w:start w:val="35"/>
    </w:lvl>
  </w:abstractNum>
  <w:abstractNum w:abstractNumId="91">
    <w:nsid w:val="2DB88089"/>
    <w:multiLevelType w:val="hybridMultilevel"/>
    <w:lvl w:ilvl="0">
      <w:lvlJc w:val="left"/>
      <w:lvlText w:val="•"/>
      <w:numFmt w:val="bullet"/>
      <w:start w:val="1"/>
    </w:lvl>
  </w:abstractNum>
  <w:abstractNum w:abstractNumId="92">
    <w:nsid w:val="706B674E"/>
    <w:multiLevelType w:val="hybridMultilevel"/>
    <w:lvl w:ilvl="0">
      <w:lvlJc w:val="left"/>
      <w:lvlText w:val="•"/>
      <w:numFmt w:val="bullet"/>
      <w:start w:val="1"/>
    </w:lvl>
  </w:abstractNum>
  <w:abstractNum w:abstractNumId="93">
    <w:nsid w:val="2C106A57"/>
    <w:multiLevelType w:val="hybridMultilevel"/>
    <w:lvl w:ilvl="0">
      <w:lvlJc w:val="left"/>
      <w:lvlText w:val="•"/>
      <w:numFmt w:val="bullet"/>
      <w:start w:val="1"/>
    </w:lvl>
  </w:abstractNum>
  <w:abstractNum w:abstractNumId="94">
    <w:nsid w:val="684EED59"/>
    <w:multiLevelType w:val="hybridMultilevel"/>
    <w:lvl w:ilvl="0">
      <w:lvlJc w:val="left"/>
      <w:lvlText w:val="•"/>
      <w:numFmt w:val="bullet"/>
      <w:start w:val="1"/>
    </w:lvl>
  </w:abstractNum>
  <w:abstractNum w:abstractNumId="95">
    <w:nsid w:val="545EE5D3"/>
    <w:multiLevelType w:val="hybridMultilevel"/>
    <w:lvl w:ilvl="0">
      <w:lvlJc w:val="left"/>
      <w:lvlText w:val="•"/>
      <w:numFmt w:val="bullet"/>
      <w:start w:val="1"/>
    </w:lvl>
  </w:abstractNum>
  <w:abstractNum w:abstractNumId="96">
    <w:nsid w:val="4A66051"/>
    <w:multiLevelType w:val="hybridMultilevel"/>
    <w:lvl w:ilvl="0">
      <w:lvlJc w:val="left"/>
      <w:lvlText w:val="•"/>
      <w:numFmt w:val="bullet"/>
      <w:start w:val="1"/>
    </w:lvl>
    <w:lvl w:ilvl="1">
      <w:lvlJc w:val="left"/>
      <w:lvlText w:val="•"/>
      <w:numFmt w:val="bullet"/>
      <w:start w:val="1"/>
    </w:lvl>
  </w:abstractNum>
  <w:abstractNum w:abstractNumId="97">
    <w:nsid w:val="20F4BDAD"/>
    <w:multiLevelType w:val="hybridMultilevel"/>
    <w:lvl w:ilvl="0">
      <w:lvlJc w:val="left"/>
      <w:lvlText w:val="•"/>
      <w:numFmt w:val="bullet"/>
      <w:start w:val="1"/>
    </w:lvl>
  </w:abstractNum>
  <w:abstractNum w:abstractNumId="98">
    <w:nsid w:val="639DEFAC"/>
    <w:multiLevelType w:val="hybridMultilevel"/>
    <w:lvl w:ilvl="0">
      <w:lvlJc w:val="left"/>
      <w:lvlText w:val="•"/>
      <w:numFmt w:val="bullet"/>
      <w:start w:val="1"/>
    </w:lvl>
  </w:abstractNum>
  <w:abstractNum w:abstractNumId="99">
    <w:nsid w:val="501F9786"/>
    <w:multiLevelType w:val="hybridMultilevel"/>
    <w:lvl w:ilvl="0">
      <w:lvlJc w:val="left"/>
      <w:lvlText w:val="•"/>
      <w:numFmt w:val="bullet"/>
      <w:start w:val="1"/>
    </w:lvl>
  </w:abstractNum>
  <w:abstractNum w:abstractNumId="100">
    <w:nsid w:val="6B057295"/>
    <w:multiLevelType w:val="hybridMultilevel"/>
    <w:lvl w:ilvl="0">
      <w:lvlJc w:val="left"/>
      <w:lvlText w:val="•"/>
      <w:numFmt w:val="bullet"/>
      <w:start w:val="1"/>
    </w:lvl>
  </w:abstractNum>
  <w:abstractNum w:abstractNumId="101">
    <w:nsid w:val="2771AC80"/>
    <w:multiLevelType w:val="hybridMultilevel"/>
    <w:lvl w:ilvl="0">
      <w:lvlJc w:val="left"/>
      <w:lvlText w:val="•"/>
      <w:numFmt w:val="bullet"/>
      <w:start w:val="1"/>
    </w:lvl>
  </w:abstractNum>
  <w:abstractNum w:abstractNumId="102">
    <w:nsid w:val="1C4A08EC"/>
    <w:multiLevelType w:val="hybridMultilevel"/>
    <w:lvl w:ilvl="0">
      <w:lvlJc w:val="left"/>
      <w:lvlText w:val="•"/>
      <w:numFmt w:val="bullet"/>
      <w:start w:val="1"/>
    </w:lvl>
  </w:abstractNum>
  <w:abstractNum w:abstractNumId="103">
    <w:nsid w:val="1958BD17"/>
    <w:multiLevelType w:val="hybridMultilevel"/>
    <w:lvl w:ilvl="0">
      <w:lvlJc w:val="left"/>
      <w:lvlText w:val="•"/>
      <w:numFmt w:val="bullet"/>
      <w:start w:val="1"/>
    </w:lvl>
  </w:abstractNum>
  <w:abstractNum w:abstractNumId="104">
    <w:nsid w:val="4E647FE4"/>
    <w:multiLevelType w:val="hybridMultilevel"/>
    <w:lvl w:ilvl="0">
      <w:lvlJc w:val="left"/>
      <w:lvlText w:val="•"/>
      <w:numFmt w:val="bullet"/>
      <w:start w:val="1"/>
    </w:lvl>
  </w:abstractNum>
  <w:abstractNum w:abstractNumId="105">
    <w:nsid w:val="E0BB885"/>
    <w:multiLevelType w:val="hybridMultilevel"/>
    <w:lvl w:ilvl="0">
      <w:lvlJc w:val="left"/>
      <w:lvlText w:val="•"/>
      <w:numFmt w:val="bullet"/>
      <w:start w:val="1"/>
    </w:lvl>
  </w:abstractNum>
  <w:abstractNum w:abstractNumId="106">
    <w:nsid w:val="565976F1"/>
    <w:multiLevelType w:val="hybridMultilevel"/>
    <w:lvl w:ilvl="0">
      <w:lvlJc w:val="left"/>
      <w:lvlText w:val="•"/>
      <w:numFmt w:val="bullet"/>
      <w:start w:val="1"/>
    </w:lvl>
  </w:abstractNum>
  <w:abstractNum w:abstractNumId="107">
    <w:nsid w:val="64212B8C"/>
    <w:multiLevelType w:val="hybridMultilevel"/>
    <w:lvl w:ilvl="0">
      <w:lvlJc w:val="left"/>
      <w:lvlText w:val="•"/>
      <w:numFmt w:val="bullet"/>
      <w:start w:val="1"/>
    </w:lvl>
  </w:abstractNum>
  <w:abstractNum w:abstractNumId="108">
    <w:nsid w:val="5C17530C"/>
    <w:multiLevelType w:val="hybridMultilevel"/>
    <w:lvl w:ilvl="0">
      <w:lvlJc w:val="left"/>
      <w:lvlText w:val="•"/>
      <w:numFmt w:val="bullet"/>
      <w:start w:val="1"/>
    </w:lvl>
  </w:abstractNum>
  <w:abstractNum w:abstractNumId="109">
    <w:nsid w:val="19A52566"/>
    <w:multiLevelType w:val="hybridMultilevel"/>
    <w:lvl w:ilvl="0">
      <w:lvlJc w:val="left"/>
      <w:lvlText w:val="%1."/>
      <w:numFmt w:val="upperLetter"/>
      <w:start w:val="22"/>
    </w:lvl>
  </w:abstractNum>
  <w:abstractNum w:abstractNumId="110">
    <w:nsid w:val="335A1DF1"/>
    <w:multiLevelType w:val="hybridMultilevel"/>
    <w:lvl w:ilvl="0">
      <w:lvlJc w:val="left"/>
      <w:lvlText w:val="•"/>
      <w:numFmt w:val="bullet"/>
      <w:start w:val="1"/>
    </w:lvl>
  </w:abstractNum>
  <w:abstractNum w:abstractNumId="111">
    <w:nsid w:val="28677B7C"/>
    <w:multiLevelType w:val="hybridMultilevel"/>
    <w:lvl w:ilvl="0">
      <w:lvlJc w:val="left"/>
      <w:lvlText w:val="•"/>
      <w:numFmt w:val="bullet"/>
      <w:start w:val="1"/>
    </w:lvl>
  </w:abstractNum>
  <w:abstractNum w:abstractNumId="112">
    <w:nsid w:val="378D97C0"/>
    <w:multiLevelType w:val="hybridMultilevel"/>
    <w:lvl w:ilvl="0">
      <w:lvlJc w:val="left"/>
      <w:lvlText w:val="•"/>
      <w:numFmt w:val="bullet"/>
      <w:start w:val="1"/>
    </w:lvl>
  </w:abstractNum>
  <w:abstractNum w:abstractNumId="113">
    <w:nsid w:val="1D91467C"/>
    <w:multiLevelType w:val="hybridMultilevel"/>
    <w:lvl w:ilvl="0">
      <w:lvlJc w:val="left"/>
      <w:lvlText w:val="%1."/>
      <w:numFmt w:val="decimal"/>
      <w:start w:val="1"/>
    </w:lvl>
  </w:abstractNum>
  <w:abstractNum w:abstractNumId="114">
    <w:nsid w:val="316032BB"/>
    <w:multiLevelType w:val="hybridMultilevel"/>
    <w:lvl w:ilvl="0">
      <w:lvlJc w:val="left"/>
      <w:lvlText w:val="%1."/>
      <w:numFmt w:val="upperLetter"/>
      <w:start w:val="1"/>
    </w:lvl>
  </w:abstractNum>
  <w:abstractNum w:abstractNumId="115">
    <w:nsid w:val="44344C22"/>
    <w:multiLevelType w:val="hybridMultilevel"/>
    <w:lvl w:ilvl="0">
      <w:lvlJc w:val="left"/>
      <w:lvlText w:val="%1."/>
      <w:numFmt w:val="decimal"/>
      <w:start w:val="1"/>
    </w:lvl>
  </w:abstractNum>
  <w:abstractNum w:abstractNumId="116">
    <w:nsid w:val="13CDFCFC"/>
    <w:multiLevelType w:val="hybridMultilevel"/>
    <w:lvl w:ilvl="0">
      <w:lvlJc w:val="left"/>
      <w:lvlText w:val="•"/>
      <w:numFmt w:val="bullet"/>
      <w:start w:val="1"/>
    </w:lvl>
  </w:abstractNum>
  <w:abstractNum w:abstractNumId="117">
    <w:nsid w:val="471745E4"/>
    <w:multiLevelType w:val="hybridMultilevel"/>
    <w:lvl w:ilvl="0">
      <w:lvlJc w:val="left"/>
      <w:lvlText w:val="•"/>
      <w:numFmt w:val="bullet"/>
      <w:start w:val="1"/>
    </w:lvl>
  </w:abstractNum>
  <w:abstractNum w:abstractNumId="118">
    <w:nsid w:val="1DDBC66"/>
    <w:multiLevelType w:val="hybridMultilevel"/>
    <w:lvl w:ilvl="0">
      <w:lvlJc w:val="left"/>
      <w:lvlText w:val="%1."/>
      <w:numFmt w:val="decimal"/>
      <w:start w:val="2"/>
    </w:lvl>
  </w:abstractNum>
  <w:abstractNum w:abstractNumId="119">
    <w:nsid w:val="30AADFDA"/>
    <w:multiLevelType w:val="hybridMultilevel"/>
    <w:lvl w:ilvl="0">
      <w:lvlJc w:val="left"/>
      <w:lvlText w:val="%1."/>
      <w:numFmt w:val="decimal"/>
      <w:start w:val="3"/>
    </w:lvl>
  </w:abstractNum>
  <w:abstractNum w:abstractNumId="120">
    <w:nsid w:val="30EADA61"/>
    <w:multiLevelType w:val="hybridMultilevel"/>
    <w:lvl w:ilvl="0">
      <w:lvlJc w:val="left"/>
      <w:lvlText w:val="%1."/>
      <w:numFmt w:val="upperLetter"/>
      <w:start w:val="2"/>
    </w:lvl>
  </w:abstractNum>
  <w:abstractNum w:abstractNumId="121">
    <w:nsid w:val="27179C0B"/>
    <w:multiLevelType w:val="hybridMultilevel"/>
    <w:lvl w:ilvl="0">
      <w:lvlJc w:val="left"/>
      <w:lvlText w:val="%1."/>
      <w:numFmt w:val="decimal"/>
      <w:start w:val="1"/>
    </w:lvl>
  </w:abstractNum>
  <w:abstractNum w:abstractNumId="122">
    <w:nsid w:val="5E636063"/>
    <w:multiLevelType w:val="hybridMultilevel"/>
    <w:lvl w:ilvl="0">
      <w:lvlJc w:val="left"/>
      <w:lvlText w:val="%1."/>
      <w:numFmt w:val="decimal"/>
      <w:start w:val="2"/>
    </w:lvl>
  </w:abstractNum>
  <w:abstractNum w:abstractNumId="123">
    <w:nsid w:val="215641AF"/>
    <w:multiLevelType w:val="hybridMultilevel"/>
    <w:lvl w:ilvl="0">
      <w:lvlJc w:val="left"/>
      <w:lvlText w:val="%1."/>
      <w:numFmt w:val="upperLetter"/>
      <w:start w:val="3"/>
    </w:lvl>
  </w:abstractNum>
  <w:abstractNum w:abstractNumId="124">
    <w:nsid w:val="53280662"/>
    <w:multiLevelType w:val="hybridMultilevel"/>
    <w:lvl w:ilvl="0">
      <w:lvlJc w:val="left"/>
      <w:lvlText w:val="%1."/>
      <w:numFmt w:val="decimal"/>
      <w:start w:val="1"/>
    </w:lvl>
  </w:abstractNum>
  <w:abstractNum w:abstractNumId="125">
    <w:nsid w:val="46B24DBC"/>
    <w:multiLevelType w:val="hybridMultilevel"/>
    <w:lvl w:ilvl="0">
      <w:lvlJc w:val="left"/>
      <w:lvlText w:val="%1."/>
      <w:numFmt w:val="decimal"/>
      <w:start w:val="2"/>
    </w:lvl>
  </w:abstractNum>
  <w:abstractNum w:abstractNumId="126">
    <w:nsid w:val="75B52783"/>
    <w:multiLevelType w:val="hybridMultilevel"/>
    <w:lvl w:ilvl="0">
      <w:lvlJc w:val="left"/>
      <w:lvlText w:val="•"/>
      <w:numFmt w:val="bullet"/>
      <w:start w:val="1"/>
    </w:lvl>
  </w:abstractNum>
  <w:abstractNum w:abstractNumId="127">
    <w:nsid w:val="57CE66B4"/>
    <w:multiLevelType w:val="hybridMultilevel"/>
    <w:lvl w:ilvl="0">
      <w:lvlJc w:val="left"/>
      <w:lvlText w:val="•"/>
      <w:numFmt w:val="bullet"/>
      <w:start w:val="1"/>
    </w:lvl>
  </w:abstractNum>
  <w:abstractNum w:abstractNumId="128">
    <w:nsid w:val="67A70B69"/>
    <w:multiLevelType w:val="hybridMultilevel"/>
    <w:lvl w:ilvl="0">
      <w:lvlJc w:val="left"/>
      <w:lvlText w:val="%1."/>
      <w:numFmt w:val="decimal"/>
      <w:start w:val="3"/>
    </w:lvl>
  </w:abstractNum>
  <w:abstractNum w:abstractNumId="129">
    <w:nsid w:val="5953172F"/>
    <w:multiLevelType w:val="hybridMultilevel"/>
    <w:lvl w:ilvl="0">
      <w:lvlJc w:val="left"/>
      <w:lvlText w:val="•"/>
      <w:numFmt w:val="bullet"/>
      <w:start w:val="1"/>
    </w:lvl>
  </w:abstractNum>
  <w:abstractNum w:abstractNumId="130">
    <w:nsid w:val="27EDFE3A"/>
    <w:multiLevelType w:val="hybridMultilevel"/>
    <w:lvl w:ilvl="0">
      <w:lvlJc w:val="left"/>
      <w:lvlText w:val="%1."/>
      <w:numFmt w:val="upperLetter"/>
      <w:start w:val="1"/>
    </w:lvl>
  </w:abstractNum>
  <w:abstractNum w:abstractNumId="131">
    <w:nsid w:val="52AC7DFF"/>
    <w:multiLevelType w:val="hybridMultilevel"/>
    <w:lvl w:ilvl="0">
      <w:lvlJc w:val="left"/>
      <w:lvlText w:val="•"/>
      <w:numFmt w:val="bullet"/>
      <w:start w:val="1"/>
    </w:lvl>
  </w:abstractNum>
  <w:abstractNum w:abstractNumId="132">
    <w:nsid w:val="C4C3AF"/>
    <w:multiLevelType w:val="hybridMultilevel"/>
    <w:lvl w:ilvl="0">
      <w:lvlJc w:val="left"/>
      <w:lvlText w:val="%1."/>
      <w:numFmt w:val="upperLetter"/>
      <w:start w:val="2"/>
    </w:lvl>
  </w:abstractNum>
  <w:abstractNum w:abstractNumId="133">
    <w:nsid w:val="44380727"/>
    <w:multiLevelType w:val="hybridMultilevel"/>
    <w:lvl w:ilvl="0">
      <w:lvlJc w:val="left"/>
      <w:lvlText w:val="•"/>
      <w:numFmt w:val="bullet"/>
      <w:start w:val="1"/>
    </w:lvl>
  </w:abstractNum>
  <w:abstractNum w:abstractNumId="134">
    <w:nsid w:val="6C053B16"/>
    <w:multiLevelType w:val="hybridMultilevel"/>
    <w:lvl w:ilvl="0">
      <w:lvlJc w:val="left"/>
      <w:lvlText w:val="%1."/>
      <w:numFmt w:val="decimal"/>
      <w:start w:val="1"/>
    </w:lvl>
  </w:abstractNum>
  <w:abstractNum w:abstractNumId="135">
    <w:nsid w:val="4F294393"/>
    <w:multiLevelType w:val="hybridMultilevel"/>
    <w:lvl w:ilvl="0">
      <w:lvlJc w:val="left"/>
      <w:lvlText w:val="%1."/>
      <w:numFmt w:val="decimal"/>
      <w:start w:val="2"/>
    </w:lvl>
  </w:abstractNum>
  <w:abstractNum w:abstractNumId="136">
    <w:nsid w:val="5243BFAC"/>
    <w:multiLevelType w:val="hybridMultilevel"/>
    <w:lvl w:ilvl="0">
      <w:lvlJc w:val="left"/>
      <w:lvlText w:val="%1."/>
      <w:numFmt w:val="decimal"/>
      <w:start w:val="3"/>
    </w:lvl>
  </w:abstractNum>
  <w:abstractNum w:abstractNumId="137">
    <w:nsid w:val="425EB207"/>
    <w:multiLevelType w:val="hybridMultilevel"/>
    <w:lvl w:ilvl="0">
      <w:lvlJc w:val="left"/>
      <w:lvlText w:val="%1."/>
      <w:numFmt w:val="decimal"/>
      <w:start w:val="4"/>
    </w:lvl>
  </w:abstractNum>
  <w:abstractNum w:abstractNumId="138">
    <w:nsid w:val="334A6F1F"/>
    <w:multiLevelType w:val="hybridMultilevel"/>
    <w:lvl w:ilvl="0">
      <w:lvlJc w:val="left"/>
      <w:lvlText w:val="%1."/>
      <w:numFmt w:val="upperLetter"/>
      <w:start w:val="3"/>
    </w:lvl>
  </w:abstractNum>
  <w:abstractNum w:abstractNumId="139">
    <w:nsid w:val="2E5B12B8"/>
    <w:multiLevelType w:val="hybridMultilevel"/>
    <w:lvl w:ilvl="0">
      <w:lvlJc w:val="left"/>
      <w:lvlText w:val="•"/>
      <w:numFmt w:val="bullet"/>
      <w:start w:val="1"/>
    </w:lvl>
  </w:abstractNum>
  <w:abstractNum w:abstractNumId="140">
    <w:nsid w:val="5C03D76D"/>
    <w:multiLevelType w:val="hybridMultilevel"/>
    <w:lvl w:ilvl="0">
      <w:lvlJc w:val="left"/>
      <w:lvlText w:val="%1."/>
      <w:numFmt w:val="upperLetter"/>
      <w:start w:val="4"/>
    </w:lvl>
  </w:abstractNum>
  <w:abstractNum w:abstractNumId="141">
    <w:nsid w:val="66A48D11"/>
    <w:multiLevelType w:val="hybridMultilevel"/>
    <w:lvl w:ilvl="0">
      <w:lvlJc w:val="left"/>
      <w:lvlText w:val="%1."/>
      <w:numFmt w:val="decimal"/>
      <w:start w:val="1"/>
    </w:lvl>
  </w:abstractNum>
  <w:abstractNum w:abstractNumId="142">
    <w:nsid w:val="56C28E34"/>
    <w:multiLevelType w:val="hybridMultilevel"/>
    <w:lvl w:ilvl="0">
      <w:lvlJc w:val="left"/>
      <w:lvlText w:val="•"/>
      <w:numFmt w:val="bullet"/>
      <w:start w:val="1"/>
    </w:lvl>
  </w:abstractNum>
  <w:abstractNum w:abstractNumId="143">
    <w:nsid w:val="13916F2D"/>
    <w:multiLevelType w:val="hybridMultilevel"/>
    <w:lvl w:ilvl="0">
      <w:lvlJc w:val="left"/>
      <w:lvlText w:val="%1)"/>
      <w:numFmt w:val="lowerLetter"/>
      <w:start w:val="1"/>
    </w:lvl>
  </w:abstractNum>
  <w:abstractNum w:abstractNumId="144">
    <w:nsid w:val="435D38D"/>
    <w:multiLevelType w:val="hybridMultilevel"/>
    <w:lvl w:ilvl="0">
      <w:lvlJc w:val="left"/>
      <w:lvlText w:val="•"/>
      <w:numFmt w:val="bullet"/>
      <w:start w:val="1"/>
    </w:lvl>
  </w:abstractNum>
  <w:abstractNum w:abstractNumId="145">
    <w:nsid w:val="822C0EF"/>
    <w:multiLevelType w:val="hybridMultilevel"/>
    <w:lvl w:ilvl="0">
      <w:lvlJc w:val="left"/>
      <w:lvlText w:val="%1)"/>
      <w:numFmt w:val="lowerLetter"/>
      <w:start w:val="2"/>
    </w:lvl>
  </w:abstractNum>
  <w:abstractNum w:abstractNumId="146">
    <w:nsid w:val="57C5BB4F"/>
    <w:multiLevelType w:val="hybridMultilevel"/>
    <w:lvl w:ilvl="0">
      <w:lvlJc w:val="left"/>
      <w:lvlText w:val="•"/>
      <w:numFmt w:val="bullet"/>
      <w:start w:val="1"/>
    </w:lvl>
  </w:abstractNum>
  <w:abstractNum w:abstractNumId="147">
    <w:nsid w:val="1803D089"/>
    <w:multiLevelType w:val="hybridMultilevel"/>
    <w:lvl w:ilvl="0">
      <w:lvlJc w:val="left"/>
      <w:lvlText w:val="•"/>
      <w:numFmt w:val="bullet"/>
      <w:start w:val="1"/>
    </w:lvl>
  </w:abstractNum>
  <w:abstractNum w:abstractNumId="148">
    <w:nsid w:val="4F3A06D4"/>
    <w:multiLevelType w:val="hybridMultilevel"/>
    <w:lvl w:ilvl="0">
      <w:lvlJc w:val="left"/>
      <w:lvlText w:val="•"/>
      <w:numFmt w:val="bullet"/>
      <w:start w:val="1"/>
    </w:lvl>
  </w:abstractNum>
  <w:abstractNum w:abstractNumId="149">
    <w:nsid w:val="59A377B6"/>
    <w:multiLevelType w:val="hybridMultilevel"/>
    <w:lvl w:ilvl="0">
      <w:lvlJc w:val="left"/>
      <w:lvlText w:val="%1)"/>
      <w:numFmt w:val="lowerLetter"/>
      <w:start w:val="3"/>
    </w:lvl>
  </w:abstractNum>
  <w:abstractNum w:abstractNumId="150">
    <w:nsid w:val="48AEB063"/>
    <w:multiLevelType w:val="hybridMultilevel"/>
    <w:lvl w:ilvl="0">
      <w:lvlJc w:val="left"/>
      <w:lvlText w:val="•"/>
      <w:numFmt w:val="bullet"/>
      <w:start w:val="1"/>
    </w:lvl>
  </w:abstractNum>
  <w:abstractNum w:abstractNumId="151">
    <w:nsid w:val="24E135"/>
    <w:multiLevelType w:val="hybridMultilevel"/>
    <w:lvl w:ilvl="0">
      <w:lvlJc w:val="left"/>
      <w:lvlText w:val="2"/>
      <w:numFmt w:val="bullet"/>
      <w:start w:val="1"/>
    </w:lvl>
  </w:abstractNum>
  <w:abstractNum w:abstractNumId="152">
    <w:nsid w:val="BB13C1"/>
    <w:multiLevelType w:val="hybridMultilevel"/>
    <w:lvl w:ilvl="0">
      <w:lvlJc w:val="left"/>
      <w:lvlText w:val="%1."/>
      <w:numFmt w:val="decimal"/>
      <w:start w:val="2"/>
    </w:lvl>
  </w:abstractNum>
  <w:abstractNum w:abstractNumId="153">
    <w:nsid w:val="271210C7"/>
    <w:multiLevelType w:val="hybridMultilevel"/>
    <w:lvl w:ilvl="0">
      <w:lvlJc w:val="left"/>
      <w:lvlText w:val="•"/>
      <w:numFmt w:val="bullet"/>
      <w:start w:val="1"/>
    </w:lvl>
  </w:abstractNum>
  <w:abstractNum w:abstractNumId="154">
    <w:nsid w:val="217B22E4"/>
    <w:multiLevelType w:val="hybridMultilevel"/>
    <w:lvl w:ilvl="0">
      <w:lvlJc w:val="left"/>
      <w:lvlText w:val="•"/>
      <w:numFmt w:val="bullet"/>
      <w:start w:val="1"/>
    </w:lvl>
  </w:abstractNum>
  <w:abstractNum w:abstractNumId="155">
    <w:nsid w:val="53E31A24"/>
    <w:multiLevelType w:val="hybridMultilevel"/>
    <w:lvl w:ilvl="0">
      <w:lvlJc w:val="left"/>
      <w:lvlText w:val="•"/>
      <w:numFmt w:val="bullet"/>
      <w:start w:val="1"/>
    </w:lvl>
  </w:abstractNum>
  <w:abstractNum w:abstractNumId="156">
    <w:nsid w:val="6DC45E83"/>
    <w:multiLevelType w:val="hybridMultilevel"/>
    <w:lvl w:ilvl="0">
      <w:lvlJc w:val="left"/>
      <w:lvlText w:val="•"/>
      <w:numFmt w:val="bullet"/>
      <w:start w:val="1"/>
    </w:lvl>
  </w:abstractNum>
  <w:abstractNum w:abstractNumId="157">
    <w:nsid w:val="17304A67"/>
    <w:multiLevelType w:val="hybridMultilevel"/>
    <w:lvl w:ilvl="0">
      <w:lvlJc w:val="left"/>
      <w:lvlText w:val="•"/>
      <w:numFmt w:val="bullet"/>
      <w:start w:val="1"/>
    </w:lvl>
  </w:abstractNum>
  <w:abstractNum w:abstractNumId="158">
    <w:nsid w:val="2BB180D8"/>
    <w:multiLevelType w:val="hybridMultilevel"/>
    <w:lvl w:ilvl="0">
      <w:lvlJc w:val="left"/>
      <w:lvlText w:val="%1."/>
      <w:numFmt w:val="decimal"/>
      <w:start w:val="4"/>
    </w:lvl>
  </w:abstractNum>
  <w:abstractNum w:abstractNumId="159">
    <w:nsid w:val="556B69ED"/>
    <w:multiLevelType w:val="hybridMultilevel"/>
    <w:lvl w:ilvl="0">
      <w:lvlJc w:val="left"/>
      <w:lvlText w:val="•"/>
      <w:numFmt w:val="bullet"/>
      <w:start w:val="1"/>
    </w:lvl>
  </w:abstractNum>
  <w:abstractNum w:abstractNumId="160">
    <w:nsid w:val="70836196"/>
    <w:multiLevelType w:val="hybridMultilevel"/>
    <w:lvl w:ilvl="0">
      <w:lvlJc w:val="left"/>
      <w:lvlText w:val="%1."/>
      <w:numFmt w:val="decimal"/>
      <w:start w:val="5"/>
    </w:lvl>
  </w:abstractNum>
  <w:abstractNum w:abstractNumId="161">
    <w:nsid w:val="539F7F12"/>
    <w:multiLevelType w:val="hybridMultilevel"/>
    <w:lvl w:ilvl="0">
      <w:lvlJc w:val="left"/>
      <w:lvlText w:val="•"/>
      <w:numFmt w:val="bullet"/>
      <w:start w:val="1"/>
    </w:lvl>
  </w:abstractNum>
  <w:abstractNum w:abstractNumId="162">
    <w:nsid w:val="2817E7EC"/>
    <w:multiLevelType w:val="hybridMultilevel"/>
    <w:lvl w:ilvl="0">
      <w:lvlJc w:val="left"/>
      <w:lvlText w:val="•"/>
      <w:numFmt w:val="bullet"/>
      <w:start w:val="1"/>
    </w:lvl>
  </w:abstractNum>
  <w:abstractNum w:abstractNumId="163">
    <w:nsid w:val="71482545"/>
    <w:multiLevelType w:val="hybridMultilevel"/>
    <w:lvl w:ilvl="0">
      <w:lvlJc w:val="left"/>
      <w:lvlText w:val="•"/>
      <w:numFmt w:val="bullet"/>
      <w:start w:val="1"/>
    </w:lvl>
  </w:abstractNum>
  <w:abstractNum w:abstractNumId="164">
    <w:nsid w:val="17D78639"/>
    <w:multiLevelType w:val="hybridMultilevel"/>
    <w:lvl w:ilvl="0">
      <w:lvlJc w:val="left"/>
      <w:lvlText w:val="%1."/>
      <w:numFmt w:val="upperLetter"/>
      <w:start w:val="1"/>
    </w:lvl>
  </w:abstractNum>
  <w:abstractNum w:abstractNumId="165">
    <w:nsid w:val="141D2302"/>
    <w:multiLevelType w:val="hybridMultilevel"/>
    <w:lvl w:ilvl="0">
      <w:lvlJc w:val="left"/>
      <w:lvlText w:val="•"/>
      <w:numFmt w:val="bullet"/>
      <w:start w:val="1"/>
    </w:lvl>
  </w:abstractNum>
  <w:abstractNum w:abstractNumId="166">
    <w:nsid w:val="407168D8"/>
    <w:multiLevelType w:val="hybridMultilevel"/>
    <w:lvl w:ilvl="0">
      <w:lvlJc w:val="left"/>
      <w:lvlText w:val="•"/>
      <w:numFmt w:val="bullet"/>
      <w:start w:val="1"/>
    </w:lvl>
  </w:abstractNum>
  <w:abstractNum w:abstractNumId="167">
    <w:nsid w:val="6A1B45E5"/>
    <w:multiLevelType w:val="hybridMultilevel"/>
    <w:lvl w:ilvl="0">
      <w:lvlJc w:val="left"/>
      <w:lvlText w:val="•"/>
      <w:numFmt w:val="bullet"/>
      <w:start w:val="1"/>
    </w:lvl>
  </w:abstractNum>
  <w:abstractNum w:abstractNumId="168">
    <w:nsid w:val="567BD50A"/>
    <w:multiLevelType w:val="hybridMultilevel"/>
    <w:lvl w:ilvl="0">
      <w:lvlJc w:val="left"/>
      <w:lvlText w:val="•"/>
      <w:numFmt w:val="bullet"/>
      <w:start w:val="1"/>
    </w:lvl>
  </w:abstractNum>
  <w:abstractNum w:abstractNumId="169">
    <w:nsid w:val="73BBD7F8"/>
    <w:multiLevelType w:val="hybridMultilevel"/>
    <w:lvl w:ilvl="0">
      <w:lvlJc w:val="left"/>
      <w:lvlText w:val="(%1)"/>
      <w:numFmt w:val="upperLetter"/>
      <w:start w:val="2"/>
    </w:lvl>
  </w:abstractNum>
  <w:abstractNum w:abstractNumId="170">
    <w:nsid w:val="1876589D"/>
    <w:multiLevelType w:val="hybridMultilevel"/>
    <w:lvl w:ilvl="0">
      <w:lvlJc w:val="left"/>
      <w:lvlText w:val="%1."/>
      <w:numFmt w:val="upperLetter"/>
      <w:start w:val="2"/>
    </w:lvl>
  </w:abstractNum>
  <w:abstractNum w:abstractNumId="171">
    <w:nsid w:val="327FAC77"/>
    <w:multiLevelType w:val="hybridMultilevel"/>
    <w:lvl w:ilvl="0">
      <w:lvlJc w:val="left"/>
      <w:lvlText w:val="•"/>
      <w:numFmt w:val="bullet"/>
      <w:start w:val="1"/>
    </w:lvl>
  </w:abstractNum>
  <w:abstractNum w:abstractNumId="172">
    <w:nsid w:val="5A606509"/>
    <w:multiLevelType w:val="hybridMultilevel"/>
    <w:lvl w:ilvl="0">
      <w:lvlJc w:val="left"/>
      <w:lvlText w:val="%1."/>
      <w:numFmt w:val="upperLetter"/>
      <w:start w:val="24"/>
    </w:lvl>
  </w:abstractNum>
  <w:abstractNum w:abstractNumId="173">
    <w:nsid w:val="6F38E6D1"/>
    <w:multiLevelType w:val="hybridMultilevel"/>
    <w:lvl w:ilvl="0">
      <w:lvlJc w:val="left"/>
      <w:lvlText w:val="%1."/>
      <w:numFmt w:val="upperLetter"/>
      <w:start w:val="1"/>
    </w:lvl>
  </w:abstractNum>
  <w:abstractNum w:abstractNumId="174">
    <w:nsid w:val="46111BA5"/>
    <w:multiLevelType w:val="hybridMultilevel"/>
    <w:lvl w:ilvl="0">
      <w:lvlJc w:val="left"/>
      <w:lvlText w:val="•"/>
      <w:numFmt w:val="bullet"/>
      <w:start w:val="1"/>
    </w:lvl>
  </w:abstractNum>
  <w:abstractNum w:abstractNumId="175">
    <w:nsid w:val="5E963896"/>
    <w:multiLevelType w:val="hybridMultilevel"/>
    <w:lvl w:ilvl="0">
      <w:lvlJc w:val="left"/>
      <w:lvlText w:val="•"/>
      <w:numFmt w:val="bullet"/>
      <w:start w:val="1"/>
    </w:lvl>
  </w:abstractNum>
  <w:abstractNum w:abstractNumId="176">
    <w:nsid w:val="775BA7C1"/>
    <w:multiLevelType w:val="hybridMultilevel"/>
    <w:lvl w:ilvl="0">
      <w:lvlJc w:val="left"/>
      <w:lvlText w:val="%1."/>
      <w:numFmt w:val="upperLetter"/>
      <w:start w:val="2"/>
    </w:lvl>
  </w:abstractNum>
  <w:abstractNum w:abstractNumId="177">
    <w:nsid w:val="1DD6D6F4"/>
    <w:multiLevelType w:val="hybridMultilevel"/>
    <w:lvl w:ilvl="0">
      <w:lvlJc w:val="left"/>
      <w:lvlText w:val="%1."/>
      <w:numFmt w:val="decimal"/>
      <w:start w:val="1"/>
    </w:lvl>
  </w:abstractNum>
  <w:abstractNum w:abstractNumId="178">
    <w:nsid w:val="769A091F"/>
    <w:multiLevelType w:val="hybridMultilevel"/>
    <w:lvl w:ilvl="0">
      <w:lvlJc w:val="left"/>
      <w:lvlText w:val="%1."/>
      <w:numFmt w:val="decimal"/>
      <w:start w:val="2"/>
    </w:lvl>
  </w:abstractNum>
  <w:abstractNum w:abstractNumId="179">
    <w:nsid w:val="4695AE95"/>
    <w:multiLevelType w:val="hybridMultilevel"/>
    <w:lvl w:ilvl="0">
      <w:lvlJc w:val="left"/>
      <w:lvlText w:val="•"/>
      <w:numFmt w:val="bullet"/>
      <w:start w:val="1"/>
    </w:lvl>
  </w:abstractNum>
  <w:abstractNum w:abstractNumId="180">
    <w:nsid w:val="777A4EAA"/>
    <w:multiLevelType w:val="hybridMultilevel"/>
    <w:lvl w:ilvl="0">
      <w:lvlJc w:val="left"/>
      <w:lvlText w:val="1"/>
      <w:numFmt w:val="bullet"/>
      <w:start w:val="1"/>
    </w:lvl>
  </w:abstractNum>
  <w:abstractNum w:abstractNumId="181">
    <w:nsid w:val="3F48B982"/>
    <w:multiLevelType w:val="hybridMultilevel"/>
    <w:lvl w:ilvl="0">
      <w:lvlJc w:val="left"/>
      <w:lvlText w:val="%1."/>
      <w:numFmt w:val="upperLetter"/>
      <w:start w:val="1"/>
    </w:lvl>
  </w:abstractNum>
  <w:abstractNum w:abstractNumId="182">
    <w:nsid w:val="46BA8FCA"/>
    <w:multiLevelType w:val="hybridMultilevel"/>
    <w:lvl w:ilvl="0">
      <w:lvlJc w:val="left"/>
      <w:lvlText w:val="%1."/>
      <w:numFmt w:val="decimal"/>
      <w:start w:val="1"/>
    </w:lvl>
  </w:abstractNum>
  <w:abstractNum w:abstractNumId="183">
    <w:nsid w:val="7835626C"/>
    <w:multiLevelType w:val="hybridMultilevel"/>
    <w:lvl w:ilvl="0">
      <w:lvlJc w:val="left"/>
      <w:lvlText w:val="%1)"/>
      <w:numFmt w:val="lowerLetter"/>
      <w:start w:val="1"/>
    </w:lvl>
  </w:abstractNum>
  <w:abstractNum w:abstractNumId="184">
    <w:nsid w:val="665ACA49"/>
    <w:multiLevelType w:val="hybridMultilevel"/>
    <w:lvl w:ilvl="0">
      <w:lvlJc w:val="left"/>
      <w:lvlText w:val="•"/>
      <w:numFmt w:val="bullet"/>
      <w:start w:val="1"/>
    </w:lvl>
  </w:abstractNum>
  <w:abstractNum w:abstractNumId="185">
    <w:nsid w:val="6835B2AE"/>
    <w:multiLevelType w:val="hybridMultilevel"/>
    <w:lvl w:ilvl="0">
      <w:lvlJc w:val="left"/>
      <w:lvlText w:val="%1)"/>
      <w:numFmt w:val="lowerLetter"/>
      <w:start w:val="2"/>
    </w:lvl>
  </w:abstractNum>
  <w:abstractNum w:abstractNumId="186">
    <w:nsid w:val="4C187C90"/>
    <w:multiLevelType w:val="hybridMultilevel"/>
    <w:lvl w:ilvl="0">
      <w:lvlJc w:val="left"/>
      <w:lvlText w:val="%1)"/>
      <w:numFmt w:val="lowerLetter"/>
      <w:start w:val="3"/>
    </w:lvl>
  </w:abstractNum>
  <w:abstractNum w:abstractNumId="187">
    <w:nsid w:val="541F28CD"/>
    <w:multiLevelType w:val="hybridMultilevel"/>
    <w:lvl w:ilvl="0">
      <w:lvlJc w:val="left"/>
      <w:lvlText w:val="%1)"/>
      <w:numFmt w:val="lowerLetter"/>
      <w:start w:val="4"/>
    </w:lvl>
  </w:abstractNum>
  <w:abstractNum w:abstractNumId="188">
    <w:nsid w:val="7F65FD16"/>
    <w:multiLevelType w:val="hybridMultilevel"/>
    <w:lvl w:ilvl="0">
      <w:lvlJc w:val="left"/>
      <w:lvlText w:val="%1)"/>
      <w:numFmt w:val="lowerLetter"/>
      <w:start w:val="5"/>
    </w:lvl>
  </w:abstractNum>
  <w:abstractNum w:abstractNumId="189">
    <w:nsid w:val="77C9FD68"/>
    <w:multiLevelType w:val="hybridMultilevel"/>
    <w:lvl w:ilvl="0">
      <w:lvlJc w:val="left"/>
      <w:lvlText w:val="%1."/>
      <w:numFmt w:val="decimal"/>
      <w:start w:val="2"/>
    </w:lvl>
  </w:abstractNum>
  <w:abstractNum w:abstractNumId="190">
    <w:nsid w:val="298A92BA"/>
    <w:multiLevelType w:val="hybridMultilevel"/>
    <w:lvl w:ilvl="0">
      <w:lvlJc w:val="left"/>
      <w:lvlText w:val="%1)"/>
      <w:numFmt w:val="lowerLetter"/>
      <w:start w:val="1"/>
    </w:lvl>
  </w:abstractNum>
  <w:abstractNum w:abstractNumId="191">
    <w:nsid w:val="6FE95EAC"/>
    <w:multiLevelType w:val="hybridMultilevel"/>
    <w:lvl w:ilvl="0">
      <w:lvlJc w:val="left"/>
      <w:lvlText w:val="•"/>
      <w:numFmt w:val="bullet"/>
      <w:start w:val="1"/>
    </w:lvl>
  </w:abstractNum>
  <w:abstractNum w:abstractNumId="192">
    <w:nsid w:val="4B697C7A"/>
    <w:multiLevelType w:val="hybridMultilevel"/>
    <w:lvl w:ilvl="0">
      <w:lvlJc w:val="left"/>
      <w:lvlText w:val="•"/>
      <w:numFmt w:val="bullet"/>
      <w:start w:val="1"/>
    </w:lvl>
  </w:abstractNum>
  <w:abstractNum w:abstractNumId="193">
    <w:nsid w:val="51A27AA6"/>
    <w:multiLevelType w:val="hybridMultilevel"/>
    <w:lvl w:ilvl="0">
      <w:lvlJc w:val="left"/>
      <w:lvlText w:val="(%1)"/>
      <w:numFmt w:val="lowerRoman"/>
      <w:start w:val="1"/>
    </w:lvl>
  </w:abstractNum>
  <w:abstractNum w:abstractNumId="194">
    <w:nsid w:val="613183F2"/>
    <w:multiLevelType w:val="hybridMultilevel"/>
    <w:lvl w:ilvl="0">
      <w:lvlJc w:val="left"/>
      <w:lvlText w:val="%1."/>
      <w:numFmt w:val="decimal"/>
      <w:start w:val="3"/>
    </w:lvl>
  </w:abstractNum>
  <w:abstractNum w:abstractNumId="195">
    <w:nsid w:val="634102B4"/>
    <w:multiLevelType w:val="hybridMultilevel"/>
    <w:lvl w:ilvl="0">
      <w:lvlJc w:val="left"/>
      <w:lvlText w:val="%1)"/>
      <w:numFmt w:val="lowerLetter"/>
      <w:start w:val="1"/>
    </w:lvl>
  </w:abstractNum>
  <w:abstractNum w:abstractNumId="196">
    <w:nsid w:val="65BF9DA8"/>
    <w:multiLevelType w:val="hybridMultilevel"/>
    <w:lvl w:ilvl="0">
      <w:lvlJc w:val="left"/>
      <w:lvlText w:val="%1."/>
      <w:numFmt w:val="decimal"/>
      <w:start w:val="4"/>
    </w:lvl>
  </w:abstractNum>
  <w:abstractNum w:abstractNumId="197">
    <w:nsid w:val="21A2ECCA"/>
    <w:multiLevelType w:val="hybridMultilevel"/>
    <w:lvl w:ilvl="0">
      <w:lvlJc w:val="left"/>
      <w:lvlText w:val="%1)"/>
      <w:numFmt w:val="lowerLetter"/>
      <w:start w:val="1"/>
    </w:lvl>
  </w:abstractNum>
  <w:abstractNum w:abstractNumId="198">
    <w:nsid w:val="4D5C4899"/>
    <w:multiLevelType w:val="hybridMultilevel"/>
    <w:lvl w:ilvl="0">
      <w:lvlJc w:val="left"/>
      <w:lvlText w:val="%1)"/>
      <w:numFmt w:val="lowerLetter"/>
      <w:start w:val="2"/>
    </w:lvl>
  </w:abstractNum>
  <w:abstractNum w:abstractNumId="199">
    <w:nsid w:val="3C3B72B2"/>
    <w:multiLevelType w:val="hybridMultilevel"/>
    <w:lvl w:ilvl="0">
      <w:lvlJc w:val="left"/>
      <w:lvlText w:val="%1."/>
      <w:numFmt w:val="decimal"/>
      <w:start w:val="5"/>
    </w:lvl>
  </w:abstractNum>
  <w:abstractNum w:abstractNumId="200">
    <w:nsid w:val="155EC4C2"/>
    <w:multiLevelType w:val="hybridMultilevel"/>
    <w:lvl w:ilvl="0">
      <w:lvlJc w:val="left"/>
      <w:lvlText w:val="%1."/>
      <w:numFmt w:val="upperLetter"/>
      <w:start w:val="2"/>
    </w:lvl>
  </w:abstractNum>
  <w:abstractNum w:abstractNumId="201">
    <w:nsid w:val="65D2A137"/>
    <w:multiLevelType w:val="hybridMultilevel"/>
    <w:lvl w:ilvl="0">
      <w:lvlJc w:val="left"/>
      <w:lvlText w:val="%1."/>
      <w:numFmt w:val="decimal"/>
      <w:start w:val="1"/>
    </w:lvl>
  </w:abstractNum>
  <w:abstractNum w:abstractNumId="202">
    <w:nsid w:val="6EBB1F2A"/>
    <w:multiLevelType w:val="hybridMultilevel"/>
    <w:lvl w:ilvl="0">
      <w:lvlJc w:val="left"/>
      <w:lvlText w:val="%1)"/>
      <w:numFmt w:val="lowerLetter"/>
      <w:start w:val="1"/>
    </w:lvl>
  </w:abstractNum>
  <w:abstractNum w:abstractNumId="203">
    <w:nsid w:val="6FBF29CB"/>
    <w:multiLevelType w:val="hybridMultilevel"/>
    <w:lvl w:ilvl="0">
      <w:lvlJc w:val="left"/>
      <w:lvlText w:val="%1)"/>
      <w:numFmt w:val="lowerLetter"/>
      <w:start w:val="2"/>
    </w:lvl>
  </w:abstractNum>
  <w:abstractNum w:abstractNumId="204">
    <w:nsid w:val="550B8808"/>
    <w:multiLevelType w:val="hybridMultilevel"/>
    <w:lvl w:ilvl="0">
      <w:lvlJc w:val="left"/>
      <w:lvlText w:val="%1."/>
      <w:numFmt w:val="upperLetter"/>
      <w:start w:val="3"/>
    </w:lvl>
  </w:abstractNum>
  <w:abstractNum w:abstractNumId="205">
    <w:nsid w:val="34CC3ACF"/>
    <w:multiLevelType w:val="hybridMultilevel"/>
    <w:lvl w:ilvl="0">
      <w:lvlJc w:val="left"/>
      <w:lvlText w:val="%1."/>
      <w:numFmt w:val="upperLetter"/>
      <w:start w:val="4"/>
    </w:lvl>
  </w:abstractNum>
  <w:abstractNum w:abstractNumId="206">
    <w:nsid w:val="4E556261"/>
    <w:multiLevelType w:val="hybridMultilevel"/>
    <w:lvl w:ilvl="0">
      <w:lvlJc w:val="left"/>
      <w:lvlText w:val="%1."/>
      <w:numFmt w:val="decimal"/>
      <w:start w:val="1"/>
    </w:lvl>
  </w:abstractNum>
  <w:abstractNum w:abstractNumId="207">
    <w:nsid w:val="4C672FC9"/>
    <w:multiLevelType w:val="hybridMultilevel"/>
    <w:lvl w:ilvl="0">
      <w:lvlJc w:val="left"/>
      <w:lvlText w:val="%1)"/>
      <w:numFmt w:val="lowerLetter"/>
      <w:start w:val="1"/>
    </w:lvl>
  </w:abstractNum>
  <w:abstractNum w:abstractNumId="208">
    <w:nsid w:val="52A311C3"/>
    <w:multiLevelType w:val="hybridMultilevel"/>
    <w:lvl w:ilvl="0">
      <w:lvlJc w:val="left"/>
      <w:lvlText w:val="%1)"/>
      <w:numFmt w:val="lowerLetter"/>
      <w:start w:val="2"/>
    </w:lvl>
  </w:abstractNum>
  <w:abstractNum w:abstractNumId="209">
    <w:nsid w:val="44EF6B80"/>
    <w:multiLevelType w:val="hybridMultilevel"/>
    <w:lvl w:ilvl="0">
      <w:lvlJc w:val="left"/>
      <w:lvlText w:val="%1."/>
      <w:numFmt w:val="decimal"/>
      <w:start w:val="2"/>
    </w:lvl>
    <w:lvl w:ilvl="1">
      <w:lvlJc w:val="left"/>
      <w:lvlText w:val="%2)"/>
      <w:numFmt w:val="lowerLetter"/>
      <w:start w:val="1"/>
    </w:lvl>
  </w:abstractNum>
  <w:abstractNum w:abstractNumId="210">
    <w:nsid w:val="12FCDE5E"/>
    <w:multiLevelType w:val="hybridMultilevel"/>
    <w:lvl w:ilvl="0">
      <w:lvlJc w:val="left"/>
      <w:lvlText w:val="%1."/>
      <w:numFmt w:val="upperLetter"/>
      <w:start w:val="5"/>
    </w:lvl>
  </w:abstractNum>
  <w:abstractNum w:abstractNumId="211">
    <w:nsid w:val="4A1D606E"/>
    <w:multiLevelType w:val="hybridMultilevel"/>
    <w:lvl w:ilvl="0">
      <w:lvlJc w:val="left"/>
      <w:lvlText w:val="%1."/>
      <w:numFmt w:val="decimal"/>
      <w:start w:val="1"/>
    </w:lvl>
  </w:abstractNum>
  <w:abstractNum w:abstractNumId="212">
    <w:nsid w:val="4382503"/>
    <w:multiLevelType w:val="hybridMultilevel"/>
    <w:lvl w:ilvl="0">
      <w:lvlJc w:val="left"/>
      <w:lvlText w:val="%1."/>
      <w:numFmt w:val="upperLetter"/>
      <w:start w:val="6"/>
    </w:lvl>
  </w:abstractNum>
  <w:abstractNum w:abstractNumId="213">
    <w:nsid w:val="59B76E28"/>
    <w:multiLevelType w:val="hybridMultilevel"/>
    <w:lvl w:ilvl="0">
      <w:lvlJc w:val="left"/>
      <w:lvlText w:val="%1."/>
      <w:numFmt w:val="decimal"/>
      <w:start w:val="1"/>
    </w:lvl>
  </w:abstractNum>
  <w:abstractNum w:abstractNumId="214">
    <w:nsid w:val="4252C2DA"/>
    <w:multiLevelType w:val="hybridMultilevel"/>
    <w:lvl w:ilvl="0">
      <w:lvlJc w:val="left"/>
      <w:lvlText w:val="%1."/>
      <w:numFmt w:val="decimal"/>
      <w:start w:val="2"/>
    </w:lvl>
  </w:abstractNum>
  <w:abstractNum w:abstractNumId="215">
    <w:nsid w:val="6A92EF4C"/>
    <w:multiLevelType w:val="hybridMultilevel"/>
    <w:lvl w:ilvl="0">
      <w:lvlJc w:val="left"/>
      <w:lvlText w:val="%1."/>
      <w:numFmt w:val="upperLetter"/>
      <w:start w:val="7"/>
    </w:lvl>
  </w:abstractNum>
  <w:abstractNum w:abstractNumId="216">
    <w:nsid w:val="41ED20D7"/>
    <w:multiLevelType w:val="hybridMultilevel"/>
    <w:lvl w:ilvl="0">
      <w:lvlJc w:val="left"/>
      <w:lvlText w:val="%1."/>
      <w:numFmt w:val="upperLetter"/>
      <w:start w:val="8"/>
    </w:lvl>
  </w:abstractNum>
  <w:abstractNum w:abstractNumId="217">
    <w:nsid w:val="E6B3F6A"/>
    <w:multiLevelType w:val="hybridMultilevel"/>
    <w:lvl w:ilvl="0">
      <w:lvlJc w:val="left"/>
      <w:lvlText w:val="•"/>
      <w:numFmt w:val="bullet"/>
      <w:start w:val="1"/>
    </w:lvl>
  </w:abstractNum>
  <w:abstractNum w:abstractNumId="218">
    <w:nsid w:val="3EB21819"/>
    <w:multiLevelType w:val="hybridMultilevel"/>
    <w:lvl w:ilvl="0">
      <w:lvlJc w:val="left"/>
      <w:lvlText w:val="•"/>
      <w:numFmt w:val="bullet"/>
      <w:start w:val="1"/>
    </w:lvl>
  </w:abstractNum>
  <w:abstractNum w:abstractNumId="219">
    <w:nsid w:val="41531DED"/>
    <w:multiLevelType w:val="hybridMultilevel"/>
    <w:lvl w:ilvl="0">
      <w:lvlJc w:val="left"/>
      <w:lvlText w:val="(%1)"/>
      <w:numFmt w:val="lowerRoman"/>
      <w:start w:val="2"/>
    </w:lvl>
  </w:abstractNum>
  <w:abstractNum w:abstractNumId="220">
    <w:nsid w:val="6353CD2"/>
    <w:multiLevelType w:val="hybridMultilevel"/>
    <w:lvl w:ilvl="0">
      <w:lvlJc w:val="left"/>
      <w:lvlText w:val="•"/>
      <w:numFmt w:val="bullet"/>
      <w:start w:val="1"/>
    </w:lvl>
  </w:abstractNum>
  <w:abstractNum w:abstractNumId="221">
    <w:nsid w:val="683CAAD3"/>
    <w:multiLevelType w:val="hybridMultilevel"/>
    <w:lvl w:ilvl="0">
      <w:lvlJc w:val="left"/>
      <w:lvlText w:val="•"/>
      <w:numFmt w:val="bullet"/>
      <w:start w:val="1"/>
    </w:lvl>
  </w:abstractNum>
  <w:abstractNum w:abstractNumId="222">
    <w:nsid w:val="313C7C99"/>
    <w:multiLevelType w:val="hybridMultilevel"/>
    <w:lvl w:ilvl="0">
      <w:lvlJc w:val="left"/>
      <w:lvlText w:val="•"/>
      <w:numFmt w:val="bullet"/>
      <w:start w:val="1"/>
    </w:lvl>
  </w:abstractNum>
  <w:abstractNum w:abstractNumId="223">
    <w:nsid w:val="519EB94C"/>
    <w:multiLevelType w:val="hybridMultilevel"/>
    <w:lvl w:ilvl="0">
      <w:lvlJc w:val="left"/>
      <w:lvlText w:val="•"/>
      <w:numFmt w:val="bullet"/>
      <w:start w:val="1"/>
    </w:lvl>
  </w:abstractNum>
  <w:abstractNum w:abstractNumId="224">
    <w:nsid w:val="39DF2579"/>
    <w:multiLevelType w:val="hybridMultilevel"/>
    <w:lvl w:ilvl="0">
      <w:lvlJc w:val="left"/>
      <w:lvlText w:val="•"/>
      <w:numFmt w:val="bullet"/>
      <w:start w:val="1"/>
    </w:lvl>
  </w:abstractNum>
  <w:abstractNum w:abstractNumId="225">
    <w:nsid w:val="126E008B"/>
    <w:multiLevelType w:val="hybridMultilevel"/>
    <w:lvl w:ilvl="0">
      <w:lvlJc w:val="left"/>
      <w:lvlText w:val="•"/>
      <w:numFmt w:val="bullet"/>
      <w:start w:val="1"/>
    </w:lvl>
  </w:abstractNum>
  <w:abstractNum w:abstractNumId="226">
    <w:nsid w:val="34DFBC00"/>
    <w:multiLevelType w:val="hybridMultilevel"/>
    <w:lvl w:ilvl="0">
      <w:lvlJc w:val="left"/>
      <w:lvlText w:val="•"/>
      <w:numFmt w:val="bullet"/>
      <w:start w:val="1"/>
    </w:lvl>
  </w:abstractNum>
  <w:abstractNum w:abstractNumId="227">
    <w:nsid w:val="1F9EC322"/>
    <w:multiLevelType w:val="hybridMultilevel"/>
    <w:lvl w:ilvl="0">
      <w:lvlJc w:val="left"/>
      <w:lvlText w:val="•"/>
      <w:numFmt w:val="bullet"/>
      <w:start w:val="1"/>
    </w:lvl>
  </w:abstractNum>
  <w:abstractNum w:abstractNumId="228">
    <w:nsid w:val="3410ED56"/>
    <w:multiLevelType w:val="hybridMultilevel"/>
    <w:lvl w:ilvl="0">
      <w:lvlJc w:val="left"/>
      <w:lvlText w:val="•"/>
      <w:numFmt w:val="bullet"/>
      <w:start w:val="1"/>
    </w:lvl>
  </w:abstractNum>
  <w:abstractNum w:abstractNumId="229">
    <w:nsid w:val="23C049A"/>
    <w:multiLevelType w:val="hybridMultilevel"/>
    <w:lvl w:ilvl="0">
      <w:lvlJc w:val="left"/>
      <w:lvlText w:val="•"/>
      <w:numFmt w:val="bullet"/>
      <w:start w:val="1"/>
    </w:lvl>
  </w:abstractNum>
  <w:abstractNum w:abstractNumId="230">
    <w:nsid w:val="5BDA35D4"/>
    <w:multiLevelType w:val="hybridMultilevel"/>
    <w:lvl w:ilvl="0">
      <w:lvlJc w:val="left"/>
      <w:lvlText w:val="•"/>
      <w:numFmt w:val="bullet"/>
      <w:start w:val="1"/>
    </w:lvl>
  </w:abstractNum>
  <w:abstractNum w:abstractNumId="231">
    <w:nsid w:val="496FB218"/>
    <w:multiLevelType w:val="hybridMultilevel"/>
    <w:lvl w:ilvl="0">
      <w:lvlJc w:val="left"/>
      <w:lvlText w:val="•"/>
      <w:numFmt w:val="bullet"/>
      <w:start w:val="1"/>
    </w:lvl>
  </w:abstractNum>
  <w:abstractNum w:abstractNumId="232">
    <w:nsid w:val="680EA5D1"/>
    <w:multiLevelType w:val="hybridMultilevel"/>
    <w:lvl w:ilvl="0">
      <w:lvlJc w:val="left"/>
      <w:lvlText w:val="(%1)"/>
      <w:numFmt w:val="lowerRoman"/>
      <w:start w:val="1"/>
    </w:lvl>
  </w:abstractNum>
  <w:abstractNum w:abstractNumId="233">
    <w:nsid w:val="4A9554FE"/>
    <w:multiLevelType w:val="hybridMultilevel"/>
    <w:lvl w:ilvl="0">
      <w:lvlJc w:val="left"/>
      <w:lvlText w:val="(%1)"/>
      <w:numFmt w:val="lowerRoman"/>
      <w:start w:val="4"/>
    </w:lvl>
  </w:abstractNum>
  <w:abstractNum w:abstractNumId="234">
    <w:nsid w:val="392EDBE4"/>
    <w:multiLevelType w:val="hybridMultilevel"/>
    <w:lvl w:ilvl="0">
      <w:lvlJc w:val="left"/>
      <w:lvlText w:val="%1."/>
      <w:numFmt w:val="upperLetter"/>
      <w:start w:val="1"/>
    </w:lvl>
  </w:abstractNum>
  <w:abstractNum w:abstractNumId="235">
    <w:nsid w:val="3D1A2DD9"/>
    <w:multiLevelType w:val="hybridMultilevel"/>
    <w:lvl w:ilvl="0">
      <w:lvlJc w:val="left"/>
      <w:lvlText w:val="%1."/>
      <w:numFmt w:val="upperLetter"/>
      <w:start w:val="2"/>
    </w:lvl>
  </w:abstractNum>
  <w:abstractNum w:abstractNumId="236">
    <w:nsid w:val="7F618FCD"/>
    <w:multiLevelType w:val="hybridMultilevel"/>
    <w:lvl w:ilvl="0">
      <w:lvlJc w:val="left"/>
      <w:lvlText w:val="%1."/>
      <w:numFmt w:val="decimal"/>
      <w:start w:val="1"/>
    </w:lvl>
  </w:abstractNum>
  <w:abstractNum w:abstractNumId="237">
    <w:nsid w:val="7843E45"/>
    <w:multiLevelType w:val="hybridMultilevel"/>
    <w:lvl w:ilvl="0">
      <w:lvlJc w:val="left"/>
      <w:lvlText w:val="%1."/>
      <w:numFmt w:val="decimal"/>
      <w:start w:val="2"/>
    </w:lvl>
  </w:abstractNum>
  <w:abstractNum w:abstractNumId="238">
    <w:nsid w:val="9815DA3"/>
    <w:multiLevelType w:val="hybridMultilevel"/>
    <w:lvl w:ilvl="0">
      <w:lvlJc w:val="left"/>
      <w:lvlText w:val="%1."/>
      <w:numFmt w:val="decimal"/>
      <w:start w:val="3"/>
    </w:lvl>
  </w:abstractNum>
  <w:abstractNum w:abstractNumId="239">
    <w:nsid w:val="5204A191"/>
    <w:multiLevelType w:val="hybridMultilevel"/>
    <w:lvl w:ilvl="0">
      <w:lvlJc w:val="left"/>
      <w:lvlText w:val="%1."/>
      <w:numFmt w:val="decimal"/>
      <w:start w:val="4"/>
    </w:lvl>
  </w:abstractNum>
  <w:abstractNum w:abstractNumId="240">
    <w:nsid w:val="4C73A9C6"/>
    <w:multiLevelType w:val="hybridMultilevel"/>
    <w:lvl w:ilvl="0">
      <w:lvlJc w:val="left"/>
      <w:lvlText w:val="%1."/>
      <w:numFmt w:val="upperLetter"/>
      <w:start w:val="3"/>
    </w:lvl>
  </w:abstractNum>
  <w:abstractNum w:abstractNumId="241">
    <w:nsid w:val="1C7E3C01"/>
    <w:multiLevelType w:val="hybridMultilevel"/>
    <w:lvl w:ilvl="0">
      <w:lvlJc w:val="left"/>
      <w:lvlText w:val="%1."/>
      <w:numFmt w:val="upperLetter"/>
      <w:start w:val="4"/>
    </w:lvl>
  </w:abstractNum>
  <w:abstractNum w:abstractNumId="242">
    <w:nsid w:val="1C2201FF"/>
    <w:multiLevelType w:val="hybridMultilevel"/>
    <w:lvl w:ilvl="0">
      <w:lvlJc w:val="left"/>
      <w:lvlText w:val="%1."/>
      <w:numFmt w:val="upperLetter"/>
      <w:start w:val="5"/>
    </w:lvl>
  </w:abstractNum>
  <w:abstractNum w:abstractNumId="243">
    <w:nsid w:val="50ABCEC9"/>
    <w:multiLevelType w:val="hybridMultilevel"/>
    <w:lvl w:ilvl="0">
      <w:lvlJc w:val="left"/>
      <w:lvlText w:val="•"/>
      <w:numFmt w:val="bullet"/>
      <w:start w:val="1"/>
    </w:lvl>
  </w:abstractNum>
  <w:abstractNum w:abstractNumId="244">
    <w:nsid w:val="7635AA2A"/>
    <w:multiLevelType w:val="hybridMultilevel"/>
    <w:lvl w:ilvl="0">
      <w:lvlJc w:val="left"/>
      <w:lvlText w:val="•"/>
      <w:numFmt w:val="bullet"/>
      <w:start w:val="1"/>
    </w:lvl>
  </w:abstractNum>
  <w:abstractNum w:abstractNumId="245">
    <w:nsid w:val="5E74C4D9"/>
    <w:multiLevelType w:val="hybridMultilevel"/>
    <w:lvl w:ilvl="0">
      <w:lvlJc w:val="left"/>
      <w:lvlText w:val="•"/>
      <w:numFmt w:val="bullet"/>
      <w:start w:val="1"/>
    </w:lvl>
  </w:abstractNum>
  <w:abstractNum w:abstractNumId="246">
    <w:nsid w:val="3B3EBE15"/>
    <w:multiLevelType w:val="hybridMultilevel"/>
    <w:lvl w:ilvl="0">
      <w:lvlJc w:val="left"/>
      <w:lvlText w:val="•"/>
      <w:numFmt w:val="bullet"/>
      <w:start w:val="1"/>
    </w:lvl>
  </w:abstractNum>
  <w:abstractNum w:abstractNumId="247">
    <w:nsid w:val="3822CB01"/>
    <w:multiLevelType w:val="hybridMultilevel"/>
    <w:lvl w:ilvl="0">
      <w:lvlJc w:val="left"/>
      <w:lvlText w:val="%1."/>
      <w:numFmt w:val="upperLetter"/>
      <w:start w:val="50"/>
    </w:lvl>
  </w:abstractNum>
  <w:abstractNum w:abstractNumId="248">
    <w:nsid w:val="6CE00443"/>
    <w:multiLevelType w:val="hybridMultilevel"/>
    <w:lvl w:ilvl="0">
      <w:lvlJc w:val="left"/>
      <w:lvlText w:val="•"/>
      <w:numFmt w:val="bullet"/>
      <w:start w:val="1"/>
    </w:lvl>
  </w:abstractNum>
  <w:abstractNum w:abstractNumId="249">
    <w:nsid w:val="79F0D62F"/>
    <w:multiLevelType w:val="hybridMultilevel"/>
    <w:lvl w:ilvl="0">
      <w:lvlJc w:val="left"/>
      <w:lvlText w:val="•"/>
      <w:numFmt w:val="bullet"/>
      <w:start w:val="1"/>
    </w:lvl>
  </w:abstractNum>
  <w:abstractNum w:abstractNumId="250">
    <w:nsid w:val="7975E8EE"/>
    <w:multiLevelType w:val="hybridMultilevel"/>
    <w:lvl w:ilvl="0">
      <w:lvlJc w:val="left"/>
      <w:lvlText w:val="•"/>
      <w:numFmt w:val="bullet"/>
      <w:start w:val="1"/>
    </w:lvl>
  </w:abstractNum>
  <w:abstractNum w:abstractNumId="251">
    <w:nsid w:val="73154115"/>
    <w:multiLevelType w:val="hybridMultilevel"/>
    <w:lvl w:ilvl="0">
      <w:lvlJc w:val="left"/>
      <w:lvlText w:val="•"/>
      <w:numFmt w:val="bullet"/>
      <w:start w:val="1"/>
    </w:lvl>
  </w:abstractNum>
  <w:abstractNum w:abstractNumId="252">
    <w:nsid w:val="622D8102"/>
    <w:multiLevelType w:val="hybridMultilevel"/>
    <w:lvl w:ilvl="0">
      <w:lvlJc w:val="left"/>
      <w:lvlText w:val="•"/>
      <w:numFmt w:val="bullet"/>
      <w:start w:val="1"/>
    </w:lvl>
  </w:abstractNum>
  <w:abstractNum w:abstractNumId="253">
    <w:nsid w:val="2AB26587"/>
    <w:multiLevelType w:val="hybridMultilevel"/>
    <w:lvl w:ilvl="0">
      <w:lvlJc w:val="left"/>
      <w:lvlText w:val="•"/>
      <w:numFmt w:val="bullet"/>
      <w:start w:val="1"/>
    </w:lvl>
  </w:abstractNum>
  <w:abstractNum w:abstractNumId="254">
    <w:nsid w:val="44B3FA61"/>
    <w:multiLevelType w:val="hybridMultilevel"/>
    <w:lvl w:ilvl="0">
      <w:lvlJc w:val="left"/>
      <w:lvlText w:val="(%1)"/>
      <w:numFmt w:val="decimal"/>
      <w:start w:val="1"/>
    </w:lvl>
  </w:abstractNum>
  <w:abstractNum w:abstractNumId="255">
    <w:nsid w:val="1C0CA67C"/>
    <w:multiLevelType w:val="hybridMultilevel"/>
    <w:lvl w:ilvl="0">
      <w:lvlJc w:val="left"/>
      <w:lvlText w:val="(%1)"/>
      <w:numFmt w:val="decimal"/>
      <w:start w:val="1"/>
    </w:lvl>
  </w:abstractNum>
  <w:abstractNum w:abstractNumId="256">
    <w:nsid w:val="3D206613"/>
    <w:multiLevelType w:val="hybridMultilevel"/>
    <w:lvl w:ilvl="0">
      <w:lvlJc w:val="left"/>
      <w:lvlText w:val="(%1)"/>
      <w:numFmt w:val="lowerRoman"/>
      <w:start w:val="2"/>
    </w:lvl>
  </w:abstractNum>
  <w:abstractNum w:abstractNumId="257">
    <w:nsid w:val="7993B662"/>
    <w:multiLevelType w:val="hybridMultilevel"/>
    <w:lvl w:ilvl="0">
      <w:lvlJc w:val="left"/>
      <w:lvlText w:val="•"/>
      <w:numFmt w:val="bullet"/>
      <w:start w:val="1"/>
    </w:lvl>
  </w:abstractNum>
  <w:abstractNum w:abstractNumId="258">
    <w:nsid w:val="3BAB699E"/>
    <w:multiLevelType w:val="hybridMultilevel"/>
    <w:lvl w:ilvl="0">
      <w:lvlJc w:val="left"/>
      <w:lvlText w:val="(%1)"/>
      <w:numFmt w:val="decimal"/>
      <w:start w:val="1"/>
    </w:lvl>
  </w:abstractNum>
  <w:abstractNum w:abstractNumId="259">
    <w:nsid w:val="71315369"/>
    <w:multiLevelType w:val="hybridMultilevel"/>
    <w:lvl w:ilvl="0">
      <w:lvlJc w:val="left"/>
      <w:lvlText w:val="(%1)"/>
      <w:numFmt w:val="decimal"/>
      <w:start w:val="1"/>
    </w:lvl>
  </w:abstractNum>
  <w:abstractNum w:abstractNumId="260">
    <w:nsid w:val="7BCFBAFC"/>
    <w:multiLevelType w:val="hybridMultilevel"/>
    <w:lvl w:ilvl="0">
      <w:lvlJc w:val="left"/>
      <w:lvlText w:val="•"/>
      <w:numFmt w:val="bullet"/>
      <w:start w:val="1"/>
    </w:lvl>
  </w:abstractNum>
  <w:abstractNum w:abstractNumId="261">
    <w:nsid w:val="17859F72"/>
    <w:multiLevelType w:val="hybridMultilevel"/>
    <w:lvl w:ilvl="0">
      <w:lvlJc w:val="left"/>
      <w:lvlText w:val="*"/>
      <w:numFmt w:val="bullet"/>
      <w:start w:val="1"/>
    </w:lvl>
  </w:abstractNum>
  <w:abstractNum w:abstractNumId="262">
    <w:nsid w:val="3AA10581"/>
    <w:multiLevelType w:val="hybridMultilevel"/>
    <w:lvl w:ilvl="0">
      <w:lvlJc w:val="left"/>
      <w:lvlText w:val="(%1)"/>
      <w:numFmt w:val="decimal"/>
      <w:start w:val="1"/>
    </w:lvl>
  </w:abstractNum>
  <w:abstractNum w:abstractNumId="263">
    <w:nsid w:val="63DE60CD"/>
    <w:multiLevelType w:val="hybridMultilevel"/>
    <w:lvl w:ilvl="0">
      <w:lvlJc w:val="left"/>
      <w:lvlText w:val="(%1)"/>
      <w:numFmt w:val="decimal"/>
      <w:start w:val="5"/>
    </w:lvl>
  </w:abstractNum>
  <w:abstractNum w:abstractNumId="264">
    <w:nsid w:val="621AF471"/>
    <w:multiLevelType w:val="hybridMultilevel"/>
    <w:lvl w:ilvl="0">
      <w:lvlJc w:val="left"/>
      <w:lvlText w:val="•"/>
      <w:numFmt w:val="bullet"/>
      <w:start w:val="1"/>
    </w:lvl>
  </w:abstractNum>
  <w:abstractNum w:abstractNumId="265">
    <w:nsid w:val="73CFE165"/>
    <w:multiLevelType w:val="hybridMultilevel"/>
    <w:lvl w:ilvl="0">
      <w:lvlJc w:val="left"/>
      <w:lvlText w:val="•"/>
      <w:numFmt w:val="bullet"/>
      <w:start w:val="1"/>
    </w:lvl>
  </w:abstractNum>
  <w:abstractNum w:abstractNumId="266">
    <w:nsid w:val="20F88EA6"/>
    <w:multiLevelType w:val="hybridMultilevel"/>
    <w:lvl w:ilvl="0">
      <w:lvlJc w:val="left"/>
      <w:lvlText w:val="(%1)"/>
      <w:numFmt w:val="lowerRoman"/>
      <w:start w:val="1"/>
    </w:lvl>
  </w:abstractNum>
  <w:abstractNum w:abstractNumId="267">
    <w:nsid w:val="617C843E"/>
    <w:multiLevelType w:val="hybridMultilevel"/>
    <w:lvl w:ilvl="0">
      <w:lvlJc w:val="left"/>
      <w:lvlText w:val="•"/>
      <w:numFmt w:val="bullet"/>
      <w:start w:val="1"/>
    </w:lvl>
  </w:abstractNum>
  <w:abstractNum w:abstractNumId="268">
    <w:nsid w:val="7B541FAB"/>
    <w:multiLevelType w:val="hybridMultilevel"/>
    <w:lvl w:ilvl="0">
      <w:lvlJc w:val="left"/>
      <w:lvlText w:val="•"/>
      <w:numFmt w:val="bullet"/>
      <w:start w:val="1"/>
    </w:lvl>
  </w:abstractNum>
  <w:abstractNum w:abstractNumId="269">
    <w:nsid w:val="2A79EC49"/>
    <w:multiLevelType w:val="hybridMultilevel"/>
    <w:lvl w:ilvl="0">
      <w:lvlJc w:val="left"/>
      <w:lvlText w:val="•"/>
      <w:numFmt w:val="bullet"/>
      <w:start w:val="1"/>
    </w:lvl>
  </w:abstractNum>
  <w:abstractNum w:abstractNumId="270">
    <w:nsid w:val="338125CF"/>
    <w:multiLevelType w:val="hybridMultilevel"/>
    <w:lvl w:ilvl="0">
      <w:lvlJc w:val="left"/>
      <w:lvlText w:val="•"/>
      <w:numFmt w:val="bullet"/>
      <w:start w:val="1"/>
    </w:lvl>
  </w:abstractNum>
  <w:abstractNum w:abstractNumId="271">
    <w:nsid w:val="47C7C971"/>
    <w:multiLevelType w:val="hybridMultilevel"/>
    <w:lvl w:ilvl="0">
      <w:lvlJc w:val="left"/>
      <w:lvlText w:val="•"/>
      <w:numFmt w:val="bullet"/>
      <w:start w:val="1"/>
    </w:lvl>
  </w:abstractNum>
  <w:abstractNum w:abstractNumId="272">
    <w:nsid w:val="46F8284B"/>
    <w:multiLevelType w:val="hybridMultilevel"/>
    <w:lvl w:ilvl="0">
      <w:lvlJc w:val="left"/>
      <w:lvlText w:val="•"/>
      <w:numFmt w:val="bullet"/>
      <w:start w:val="1"/>
    </w:lvl>
  </w:abstractNum>
  <w:abstractNum w:abstractNumId="273">
    <w:nsid w:val="4FA327CE"/>
    <w:multiLevelType w:val="hybridMultilevel"/>
    <w:lvl w:ilvl="0">
      <w:lvlJc w:val="left"/>
      <w:lvlText w:val="•"/>
      <w:numFmt w:val="bullet"/>
      <w:start w:val="1"/>
    </w:lvl>
  </w:abstractNum>
  <w:abstractNum w:abstractNumId="274">
    <w:nsid w:val="1873983A"/>
    <w:multiLevelType w:val="hybridMultilevel"/>
    <w:lvl w:ilvl="0">
      <w:lvlJc w:val="left"/>
      <w:lvlText w:val="•"/>
      <w:numFmt w:val="bullet"/>
      <w:start w:val="1"/>
    </w:lvl>
  </w:abstractNum>
  <w:abstractNum w:abstractNumId="275">
    <w:nsid w:val="3D2DD275"/>
    <w:multiLevelType w:val="hybridMultilevel"/>
    <w:lvl w:ilvl="0">
      <w:lvlJc w:val="left"/>
      <w:lvlText w:val="•"/>
      <w:numFmt w:val="bullet"/>
      <w:start w:val="1"/>
    </w:lvl>
  </w:abstractNum>
  <w:abstractNum w:abstractNumId="276">
    <w:nsid w:val="2E17ECA7"/>
    <w:multiLevelType w:val="hybridMultilevel"/>
    <w:lvl w:ilvl="0">
      <w:lvlJc w:val="left"/>
      <w:lvlText w:val="•"/>
      <w:numFmt w:val="bullet"/>
      <w:start w:val="1"/>
    </w:lvl>
  </w:abstractNum>
  <w:abstractNum w:abstractNumId="277">
    <w:nsid w:val="53B2564F"/>
    <w:multiLevelType w:val="hybridMultilevel"/>
    <w:lvl w:ilvl="0">
      <w:lvlJc w:val="left"/>
      <w:lvlText w:val="•"/>
      <w:numFmt w:val="bullet"/>
      <w:start w:val="1"/>
    </w:lvl>
  </w:abstractNum>
  <w:abstractNum w:abstractNumId="278">
    <w:nsid w:val="75509D76"/>
    <w:multiLevelType w:val="hybridMultilevel"/>
    <w:lvl w:ilvl="0">
      <w:lvlJc w:val="left"/>
      <w:lvlText w:val="•"/>
      <w:numFmt w:val="bullet"/>
      <w:start w:val="1"/>
    </w:lvl>
  </w:abstractNum>
  <w:abstractNum w:abstractNumId="279">
    <w:nsid w:val="1AF7F0EA"/>
    <w:multiLevelType w:val="hybridMultilevel"/>
    <w:lvl w:ilvl="0">
      <w:lvlJc w:val="left"/>
      <w:lvlText w:val="•"/>
      <w:numFmt w:val="bullet"/>
      <w:start w:val="1"/>
    </w:lvl>
  </w:abstractNum>
  <w:abstractNum w:abstractNumId="280">
    <w:nsid w:val="4DA32C7E"/>
    <w:multiLevelType w:val="hybridMultilevel"/>
    <w:lvl w:ilvl="0">
      <w:lvlJc w:val="left"/>
      <w:lvlText w:val="(%1)"/>
      <w:numFmt w:val="lowerLetter"/>
      <w:start w:val="25"/>
    </w:lvl>
  </w:abstractNum>
  <w:abstractNum w:abstractNumId="281">
    <w:nsid w:val="6EC68664"/>
    <w:multiLevelType w:val="hybridMultilevel"/>
    <w:lvl w:ilvl="0">
      <w:lvlJc w:val="left"/>
      <w:lvlText w:val="•"/>
      <w:numFmt w:val="bullet"/>
      <w:start w:val="1"/>
    </w:lvl>
  </w:abstractNum>
  <w:abstractNum w:abstractNumId="282">
    <w:nsid w:val="E0D31FF"/>
    <w:multiLevelType w:val="hybridMultilevel"/>
    <w:lvl w:ilvl="0">
      <w:lvlJc w:val="left"/>
      <w:lvlText w:val="•"/>
      <w:numFmt w:val="bullet"/>
      <w:start w:val="1"/>
    </w:lvl>
  </w:abstractNum>
  <w:abstractNum w:abstractNumId="283">
    <w:nsid w:val="2FD0AD81"/>
    <w:multiLevelType w:val="hybridMultilevel"/>
    <w:lvl w:ilvl="0">
      <w:lvlJc w:val="left"/>
      <w:lvlText w:val="•"/>
      <w:numFmt w:val="bullet"/>
      <w:start w:val="1"/>
    </w:lvl>
  </w:abstractNum>
  <w:abstractNum w:abstractNumId="284">
    <w:nsid w:val="1978EBEB"/>
    <w:multiLevelType w:val="hybridMultilevel"/>
    <w:lvl w:ilvl="0">
      <w:lvlJc w:val="left"/>
      <w:lvlText w:val="(%1)"/>
      <w:numFmt w:val="lowerRoman"/>
      <w:start w:val="1"/>
    </w:lvl>
  </w:abstractNum>
  <w:abstractNum w:abstractNumId="285">
    <w:nsid w:val="52C12C61"/>
    <w:multiLevelType w:val="hybridMultilevel"/>
    <w:lvl w:ilvl="0">
      <w:lvlJc w:val="left"/>
      <w:lvlText w:val="(%1)"/>
      <w:numFmt w:val="lowerRoman"/>
      <w:start w:val="2"/>
    </w:lvl>
  </w:abstractNum>
  <w:abstractNum w:abstractNumId="286">
    <w:nsid w:val="4BDD53FD"/>
    <w:multiLevelType w:val="hybridMultilevel"/>
    <w:lvl w:ilvl="0">
      <w:lvlJc w:val="left"/>
      <w:lvlText w:val="•"/>
      <w:numFmt w:val="bullet"/>
      <w:start w:val="1"/>
    </w:lvl>
  </w:abstractNum>
  <w:abstractNum w:abstractNumId="287">
    <w:nsid w:val="569951FE"/>
    <w:multiLevelType w:val="hybridMultilevel"/>
    <w:lvl w:ilvl="0">
      <w:lvlJc w:val="left"/>
      <w:lvlText w:val="(%1)"/>
      <w:numFmt w:val="lowerRoman"/>
      <w:start w:val="2"/>
    </w:lvl>
  </w:abstractNum>
  <w:abstractNum w:abstractNumId="288">
    <w:nsid w:val="4C54E2C3"/>
    <w:multiLevelType w:val="hybridMultilevel"/>
    <w:lvl w:ilvl="0">
      <w:lvlJc w:val="left"/>
      <w:lvlText w:val="•"/>
      <w:numFmt w:val="bullet"/>
      <w:start w:val="1"/>
    </w:lvl>
  </w:abstractNum>
  <w:abstractNum w:abstractNumId="289">
    <w:nsid w:val="788BD9B"/>
    <w:multiLevelType w:val="hybridMultilevel"/>
    <w:lvl w:ilvl="0">
      <w:lvlJc w:val="left"/>
      <w:lvlText w:val="•"/>
      <w:numFmt w:val="bullet"/>
      <w:start w:val="1"/>
    </w:lvl>
  </w:abstractNum>
  <w:abstractNum w:abstractNumId="290">
    <w:nsid w:val="47CAA567"/>
    <w:multiLevelType w:val="hybridMultilevel"/>
    <w:lvl w:ilvl="0">
      <w:lvlJc w:val="left"/>
      <w:lvlText w:val="•"/>
      <w:numFmt w:val="bullet"/>
      <w:start w:val="1"/>
    </w:lvl>
  </w:abstractNum>
  <w:abstractNum w:abstractNumId="291">
    <w:nsid w:val="48249DBF"/>
    <w:multiLevelType w:val="hybridMultilevel"/>
    <w:lvl w:ilvl="0">
      <w:lvlJc w:val="left"/>
      <w:lvlText w:val="%1."/>
      <w:numFmt w:val="upperLetter"/>
      <w:start w:val="1"/>
    </w:lvl>
  </w:abstractNum>
  <w:abstractNum w:abstractNumId="292">
    <w:nsid w:val="1F0E5D0D"/>
    <w:multiLevelType w:val="hybridMultilevel"/>
    <w:lvl w:ilvl="0">
      <w:lvlJc w:val="left"/>
      <w:lvlText w:val="•"/>
      <w:numFmt w:val="bullet"/>
      <w:start w:val="1"/>
    </w:lvl>
  </w:abstractNum>
  <w:abstractNum w:abstractNumId="293">
    <w:nsid w:val="26BAAE9"/>
    <w:multiLevelType w:val="hybridMultilevel"/>
    <w:lvl w:ilvl="0">
      <w:lvlJc w:val="left"/>
      <w:lvlText w:val="•"/>
      <w:numFmt w:val="bullet"/>
      <w:start w:val="1"/>
    </w:lvl>
  </w:abstractNum>
  <w:abstractNum w:abstractNumId="294">
    <w:nsid w:val="2C02FE8C"/>
    <w:multiLevelType w:val="hybridMultilevel"/>
    <w:lvl w:ilvl="0">
      <w:lvlJc w:val="left"/>
      <w:lvlText w:val="1"/>
      <w:numFmt w:val="bullet"/>
      <w:start w:val="1"/>
    </w:lvl>
  </w:abstractNum>
  <w:abstractNum w:abstractNumId="295">
    <w:nsid w:val="129517E"/>
    <w:multiLevelType w:val="hybridMultilevel"/>
    <w:lvl w:ilvl="0">
      <w:lvlJc w:val="left"/>
      <w:lvlText w:val="2"/>
      <w:numFmt w:val="bullet"/>
      <w:start w:val="1"/>
    </w:lvl>
  </w:abstractNum>
  <w:abstractNum w:abstractNumId="296">
    <w:nsid w:val="763B8C4E"/>
    <w:multiLevelType w:val="hybridMultilevel"/>
    <w:lvl w:ilvl="0">
      <w:lvlJc w:val="left"/>
      <w:lvlText w:val="3"/>
      <w:numFmt w:val="bullet"/>
      <w:start w:val="1"/>
    </w:lvl>
  </w:abstractNum>
  <w:abstractNum w:abstractNumId="297">
    <w:nsid w:val="4CFB8D32"/>
    <w:multiLevelType w:val="hybridMultilevel"/>
    <w:lvl w:ilvl="0">
      <w:lvlJc w:val="left"/>
      <w:lvlText w:val="4"/>
      <w:numFmt w:val="bullet"/>
      <w:start w:val="1"/>
    </w:lvl>
  </w:abstractNum>
  <w:abstractNum w:abstractNumId="298">
    <w:nsid w:val="62A5D5BD"/>
    <w:multiLevelType w:val="hybridMultilevel"/>
    <w:lvl w:ilvl="0">
      <w:lvlJc w:val="left"/>
      <w:lvlText w:val="5"/>
      <w:numFmt w:val="bullet"/>
      <w:start w:val="1"/>
    </w:lvl>
  </w:abstractNum>
  <w:abstractNum w:abstractNumId="299">
    <w:nsid w:val="718FABF9"/>
    <w:multiLevelType w:val="hybridMultilevel"/>
    <w:lvl w:ilvl="0">
      <w:lvlJc w:val="left"/>
      <w:lvlText w:val="6"/>
      <w:numFmt w:val="bullet"/>
      <w:start w:val="1"/>
    </w:lvl>
  </w:abstractNum>
  <w:abstractNum w:abstractNumId="300">
    <w:nsid w:val="7775797C"/>
    <w:multiLevelType w:val="hybridMultilevel"/>
    <w:lvl w:ilvl="0">
      <w:lvlJc w:val="left"/>
      <w:lvlText w:val="7"/>
      <w:numFmt w:val="bullet"/>
      <w:start w:val="1"/>
    </w:lvl>
  </w:abstractNum>
  <w:abstractNum w:abstractNumId="301">
    <w:nsid w:val="1626FB8C"/>
    <w:multiLevelType w:val="hybridMultilevel"/>
    <w:lvl w:ilvl="0">
      <w:lvlJc w:val="left"/>
      <w:lvlText w:val="8"/>
      <w:numFmt w:val="bullet"/>
      <w:start w:val="1"/>
    </w:lvl>
  </w:abstractNum>
  <w:abstractNum w:abstractNumId="302">
    <w:nsid w:val="3957756A"/>
    <w:multiLevelType w:val="hybridMultilevel"/>
    <w:lvl w:ilvl="0">
      <w:lvlJc w:val="left"/>
      <w:lvlText w:val="9"/>
      <w:numFmt w:val="bullet"/>
      <w:start w:val="1"/>
    </w:lvl>
  </w:abstractNum>
  <w:abstractNum w:abstractNumId="303">
    <w:nsid w:val="3E6DA1C7"/>
    <w:multiLevelType w:val="hybridMultilevel"/>
    <w:lvl w:ilvl="0">
      <w:lvlJc w:val="left"/>
      <w:lvlText w:val="€"/>
      <w:numFmt w:val="bullet"/>
      <w:start w:val="1"/>
    </w:lvl>
    <w:lvl w:ilvl="1">
      <w:lvlJc w:val="left"/>
      <w:lvlText w:val="\emdash "/>
      <w:numFmt w:val="bullet"/>
      <w:start w:val="1"/>
    </w:lvl>
  </w:abstractNum>
  <w:abstractNum w:abstractNumId="304">
    <w:nsid w:val="65CA235B"/>
    <w:multiLevelType w:val="hybridMultilevel"/>
    <w:lvl w:ilvl="0">
      <w:lvlJc w:val="left"/>
      <w:lvlText w:val="1"/>
      <w:numFmt w:val="bullet"/>
      <w:start w:val="1"/>
    </w:lvl>
  </w:abstractNum>
  <w:abstractNum w:abstractNumId="305">
    <w:nsid w:val="51CB0DA4"/>
    <w:multiLevelType w:val="hybridMultilevel"/>
    <w:lvl w:ilvl="0">
      <w:lvlJc w:val="left"/>
      <w:lvlText w:val="2"/>
      <w:numFmt w:val="bullet"/>
      <w:start w:val="1"/>
    </w:lvl>
  </w:abstractNum>
  <w:abstractNum w:abstractNumId="306">
    <w:nsid w:val="7B9B743C"/>
    <w:multiLevelType w:val="hybridMultilevel"/>
    <w:lvl w:ilvl="0">
      <w:lvlJc w:val="left"/>
      <w:lvlText w:val="•"/>
      <w:numFmt w:val="bullet"/>
      <w:start w:val="1"/>
    </w:lvl>
  </w:abstractNum>
  <w:abstractNum w:abstractNumId="307">
    <w:nsid w:val="13E21002"/>
    <w:multiLevelType w:val="hybridMultilevel"/>
    <w:lvl w:ilvl="0">
      <w:lvlJc w:val="left"/>
      <w:lvlText w:val="•"/>
      <w:numFmt w:val="bullet"/>
      <w:start w:val="1"/>
    </w:lvl>
  </w:abstractNum>
  <w:abstractNum w:abstractNumId="308">
    <w:nsid w:val="257D63F4"/>
    <w:multiLevelType w:val="hybridMultilevel"/>
    <w:lvl w:ilvl="0">
      <w:lvlJc w:val="left"/>
      <w:lvlText w:val="•"/>
      <w:numFmt w:val="bullet"/>
      <w:start w:val="1"/>
    </w:lvl>
  </w:abstractNum>
  <w:abstractNum w:abstractNumId="309">
    <w:nsid w:val="70EC11B2"/>
    <w:multiLevelType w:val="hybridMultilevel"/>
    <w:lvl w:ilvl="0">
      <w:lvlJc w:val="left"/>
      <w:lvlText w:val="•"/>
      <w:numFmt w:val="bullet"/>
      <w:start w:val="1"/>
    </w:lvl>
  </w:abstractNum>
  <w:abstractNum w:abstractNumId="310">
    <w:nsid w:val="2EDA00ED"/>
    <w:multiLevelType w:val="hybridMultilevel"/>
    <w:lvl w:ilvl="0">
      <w:lvlJc w:val="left"/>
      <w:lvlText w:val="•"/>
      <w:numFmt w:val="bullet"/>
      <w:start w:val="1"/>
    </w:lvl>
  </w:abstractNum>
  <w:abstractNum w:abstractNumId="311">
    <w:nsid w:val="73209072"/>
    <w:multiLevelType w:val="hybridMultilevel"/>
    <w:lvl w:ilvl="0">
      <w:lvlJc w:val="left"/>
      <w:lvlText w:val="•"/>
      <w:numFmt w:val="bullet"/>
      <w:start w:val="1"/>
    </w:lvl>
    <w:lvl w:ilvl="1">
      <w:lvlJc w:val="left"/>
      <w:lvlText w:val="•"/>
      <w:numFmt w:val="bullet"/>
      <w:start w:val="1"/>
    </w:lvl>
  </w:abstractNum>
  <w:abstractNum w:abstractNumId="312">
    <w:nsid w:val="5FB29816"/>
    <w:multiLevelType w:val="hybridMultilevel"/>
    <w:lvl w:ilvl="0">
      <w:lvlJc w:val="left"/>
      <w:lvlText w:val="•"/>
      <w:numFmt w:val="bullet"/>
      <w:start w:val="1"/>
    </w:lvl>
  </w:abstractNum>
  <w:abstractNum w:abstractNumId="313">
    <w:nsid w:val="3CE732EC"/>
    <w:multiLevelType w:val="hybridMultilevel"/>
    <w:lvl w:ilvl="0">
      <w:lvlJc w:val="left"/>
      <w:lvlText w:val="•"/>
      <w:numFmt w:val="bullet"/>
      <w:start w:val="1"/>
    </w:lvl>
  </w:abstractNum>
  <w:abstractNum w:abstractNumId="314">
    <w:nsid w:val="22F13DF3"/>
    <w:multiLevelType w:val="hybridMultilevel"/>
    <w:lvl w:ilvl="0">
      <w:lvlJc w:val="left"/>
      <w:lvlText w:val="•"/>
      <w:numFmt w:val="bullet"/>
      <w:start w:val="1"/>
    </w:lvl>
  </w:abstractNum>
  <w:abstractNum w:abstractNumId="315">
    <w:nsid w:val="792B8401"/>
    <w:multiLevelType w:val="hybridMultilevel"/>
    <w:lvl w:ilvl="0">
      <w:lvlJc w:val="left"/>
      <w:lvlText w:val="•"/>
      <w:numFmt w:val="bullet"/>
      <w:start w:val="1"/>
    </w:lvl>
  </w:abstractNum>
  <w:abstractNum w:abstractNumId="316">
    <w:nsid w:val="FA85F4D"/>
    <w:multiLevelType w:val="hybridMultilevel"/>
    <w:lvl w:ilvl="0">
      <w:lvlJc w:val="left"/>
      <w:lvlText w:val="•"/>
      <w:numFmt w:val="bullet"/>
      <w:start w:val="1"/>
    </w:lvl>
  </w:abstractNum>
  <w:abstractNum w:abstractNumId="317">
    <w:nsid w:val="6ECE91F0"/>
    <w:multiLevelType w:val="hybridMultilevel"/>
    <w:lvl w:ilvl="0">
      <w:lvlJc w:val="left"/>
      <w:lvlText w:val="•"/>
      <w:numFmt w:val="bullet"/>
      <w:start w:val="1"/>
    </w:lvl>
  </w:abstractNum>
  <w:abstractNum w:abstractNumId="318">
    <w:nsid w:val="4FC4D600"/>
    <w:multiLevelType w:val="hybridMultilevel"/>
    <w:lvl w:ilvl="0">
      <w:lvlJc w:val="left"/>
      <w:lvlText w:val="•"/>
      <w:numFmt w:val="bullet"/>
      <w:start w:val="1"/>
    </w:lvl>
  </w:abstractNum>
  <w:abstractNum w:abstractNumId="319">
    <w:nsid w:val="5BFD4210"/>
    <w:multiLevelType w:val="hybridMultilevel"/>
    <w:lvl w:ilvl="0">
      <w:lvlJc w:val="left"/>
      <w:lvlText w:val="•"/>
      <w:numFmt w:val="bullet"/>
      <w:start w:val="1"/>
    </w:lvl>
  </w:abstractNum>
  <w:abstractNum w:abstractNumId="320">
    <w:nsid w:val="76574F8B"/>
    <w:multiLevelType w:val="hybridMultilevel"/>
    <w:lvl w:ilvl="0">
      <w:lvlJc w:val="left"/>
      <w:lvlText w:val="•"/>
      <w:numFmt w:val="bullet"/>
      <w:start w:val="1"/>
    </w:lvl>
  </w:abstractNum>
  <w:abstractNum w:abstractNumId="321">
    <w:nsid w:val="178F7B67"/>
    <w:multiLevelType w:val="hybridMultilevel"/>
    <w:lvl w:ilvl="0">
      <w:lvlJc w:val="left"/>
      <w:lvlText w:val="•"/>
      <w:numFmt w:val="bullet"/>
      <w:start w:val="1"/>
    </w:lvl>
  </w:abstractNum>
  <w:abstractNum w:abstractNumId="322">
    <w:nsid w:val="2421DFCF"/>
    <w:multiLevelType w:val="hybridMultilevel"/>
    <w:lvl w:ilvl="0">
      <w:lvlJc w:val="left"/>
      <w:lvlText w:val="•"/>
      <w:numFmt w:val="bullet"/>
      <w:start w:val="1"/>
    </w:lvl>
  </w:abstractNum>
  <w:abstractNum w:abstractNumId="323">
    <w:nsid w:val="1565AC99"/>
    <w:multiLevelType w:val="hybridMultilevel"/>
    <w:lvl w:ilvl="0">
      <w:lvlJc w:val="left"/>
      <w:lvlText w:val="3"/>
      <w:numFmt w:val="bullet"/>
      <w:start w:val="1"/>
    </w:lvl>
  </w:abstractNum>
  <w:abstractNum w:abstractNumId="324">
    <w:nsid w:val="19FB2650"/>
    <w:multiLevelType w:val="hybridMultilevel"/>
    <w:lvl w:ilvl="0">
      <w:lvlJc w:val="left"/>
      <w:lvlText w:val="•"/>
      <w:numFmt w:val="bullet"/>
      <w:start w:val="1"/>
    </w:lvl>
  </w:abstractNum>
  <w:abstractNum w:abstractNumId="325">
    <w:nsid w:val="5024DE5B"/>
    <w:multiLevelType w:val="hybridMultilevel"/>
    <w:lvl w:ilvl="0">
      <w:lvlJc w:val="left"/>
      <w:lvlText w:val="•"/>
      <w:numFmt w:val="bullet"/>
      <w:start w:val="1"/>
    </w:lvl>
  </w:abstractNum>
  <w:abstractNum w:abstractNumId="326">
    <w:nsid w:val="168EFE17"/>
    <w:multiLevelType w:val="hybridMultilevel"/>
    <w:lvl w:ilvl="0">
      <w:lvlJc w:val="left"/>
      <w:lvlText w:val="4"/>
      <w:numFmt w:val="bullet"/>
      <w:start w:val="1"/>
    </w:lvl>
  </w:abstractNum>
  <w:abstractNum w:abstractNumId="327">
    <w:nsid w:val="1036B29F"/>
    <w:multiLevelType w:val="hybridMultilevel"/>
    <w:lvl w:ilvl="0">
      <w:lvlJc w:val="left"/>
      <w:lvlText w:val="5"/>
      <w:numFmt w:val="bullet"/>
      <w:start w:val="1"/>
    </w:lvl>
  </w:abstractNum>
  <w:abstractNum w:abstractNumId="328">
    <w:nsid w:val="1D206B8E"/>
    <w:multiLevelType w:val="hybridMultilevel"/>
    <w:lvl w:ilvl="0">
      <w:lvlJc w:val="left"/>
      <w:lvlText w:val="6"/>
      <w:numFmt w:val="bullet"/>
      <w:start w:val="1"/>
    </w:lvl>
  </w:abstractNum>
  <w:abstractNum w:abstractNumId="329">
    <w:nsid w:val="7934D3D4"/>
    <w:multiLevelType w:val="hybridMultilevel"/>
    <w:lvl w:ilvl="0">
      <w:lvlJc w:val="left"/>
      <w:lvlText w:val="8"/>
      <w:numFmt w:val="bullet"/>
      <w:start w:val="1"/>
    </w:lvl>
  </w:abstractNum>
  <w:abstractNum w:abstractNumId="330">
    <w:nsid w:val="1C65E98"/>
    <w:multiLevelType w:val="hybridMultilevel"/>
    <w:lvl w:ilvl="0">
      <w:lvlJc w:val="left"/>
      <w:lvlText w:val="%1"/>
      <w:numFmt w:val="decimal"/>
      <w:start w:val="11"/>
    </w:lvl>
  </w:abstractNum>
  <w:abstractNum w:abstractNumId="331">
    <w:nsid w:val="1495E50A"/>
    <w:multiLevelType w:val="hybridMultilevel"/>
    <w:lvl w:ilvl="0">
      <w:lvlJc w:val="left"/>
      <w:lvlText w:val="%1"/>
      <w:numFmt w:val="decimal"/>
      <w:start w:val="15"/>
    </w:lvl>
  </w:abstractNum>
  <w:abstractNum w:abstractNumId="332">
    <w:nsid w:val="F5BCF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2019-12-04T23:00:19Z</dcterms:created>
  <dcterms:modified xsi:type="dcterms:W3CDTF">2019-12-04T23:00:19Z</dcterms:modified>
</cp:coreProperties>
</file>