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NOVEMBER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November 3, 2025, BioNTech SE (the “Company”) provided a development update and reported its financial results for the three and nine months ended September 30, 2025. The interim condensed consolidated financial statements as well as the operating and financial review and prospects of the Company for the three and nine months ended September 30, 2025 are attached hereto as Exhibit 99.1 and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Ramón Zapata-Gomez</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729"/>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November 3, 2025</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6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6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6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and Nine Months Ended September 30, 2025</w:t>
            </w:r>
          </w:p>
        </w:tc>
      </w:tr>
    </w:tbl>
    <w:p>
      <w:pPr>
        <w:sectPr>
          <w:pgSz w:w="11900" w:h="16838" w:orient="portrait"/>
          <w:cols w:equalWidth="0" w:num="1">
            <w:col w:w="10099"/>
          </w:cols>
          <w:pgMar w:left="360" w:top="109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797675" cy="961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18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20"/>
          </w:cols>
          <w:pgMar w:left="320" w:top="14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60"/>
        <w:spacing w:after="0" w:line="287" w:lineRule="auto"/>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5</w:t>
            </w:r>
          </w:p>
        </w:tc>
      </w:tr>
      <w:tr>
        <w:trPr>
          <w:trHeight w:val="25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Explanatory Notes to the Unaudited Interim Condensed Consolidated</w:t>
            </w:r>
          </w:p>
        </w:tc>
        <w:tc>
          <w:tcPr>
            <w:tcW w:w="2360" w:type="dxa"/>
            <w:vAlign w:val="bottom"/>
          </w:tcPr>
          <w:p>
            <w:pPr>
              <w:spacing w:after="0"/>
              <w:rPr>
                <w:sz w:val="21"/>
                <w:szCs w:val="21"/>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Information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Basis of Preparation, Significant Accounting Policies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Expenses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Combination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13</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15</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Assets and Financial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Capital and Reserves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Disclosures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30</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after the Reporting Period</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0"/>
        <w:spacing w:after="0" w:line="287" w:lineRule="auto"/>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Results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0960"/>
          </w:cols>
          <w:pgMar w:left="320" w:top="148" w:right="619" w:bottom="1440" w:gutter="0" w:footer="0" w:header="0"/>
        </w:sectPr>
      </w:pPr>
    </w:p>
    <w:bookmarkStart w:id="7" w:name="page8"/>
    <w:bookmarkEnd w:id="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80" w:type="dxa"/>
            <w:vAlign w:val="bottom"/>
          </w:tcPr>
          <w:p>
            <w:pPr>
              <w:spacing w:after="0"/>
              <w:rPr>
                <w:sz w:val="16"/>
                <w:szCs w:val="16"/>
                <w:color w:val="auto"/>
              </w:rPr>
            </w:pPr>
          </w:p>
        </w:tc>
        <w:tc>
          <w:tcPr>
            <w:tcW w:w="2660" w:type="dxa"/>
            <w:vAlign w:val="bottom"/>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0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tc>
        <w:tc>
          <w:tcPr>
            <w:tcW w:w="1300" w:type="dxa"/>
            <w:vAlign w:val="bottom"/>
            <w:tcBorders>
              <w:right w:val="single" w:sz="8" w:color="BECD32"/>
            </w:tcBorders>
            <w:gridSpan w:val="2"/>
          </w:tcPr>
          <w:p>
            <w:pPr>
              <w:ind w:left="84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1340" w:type="dxa"/>
            <w:vAlign w:val="bottom"/>
            <w:tcBorders>
              <w:right w:val="single" w:sz="8" w:color="BECD32"/>
            </w:tcBorders>
            <w:gridSpan w:val="2"/>
          </w:tcPr>
          <w:p>
            <w:pPr>
              <w:ind w:left="4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00" w:type="dxa"/>
            <w:vAlign w:val="bottom"/>
            <w:gridSpan w:val="2"/>
          </w:tcPr>
          <w:p>
            <w:pPr>
              <w:spacing w:after="0"/>
              <w:rPr>
                <w:sz w:val="22"/>
                <w:szCs w:val="22"/>
                <w:color w:val="auto"/>
              </w:rPr>
            </w:pPr>
          </w:p>
        </w:tc>
        <w:tc>
          <w:tcPr>
            <w:tcW w:w="940" w:type="dxa"/>
            <w:vAlign w:val="bottom"/>
            <w:tcBorders>
              <w:right w:val="single" w:sz="8" w:color="BECD32"/>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1340" w:type="dxa"/>
            <w:vAlign w:val="bottom"/>
            <w:tcBorders>
              <w:right w:val="single" w:sz="8" w:color="BECD32"/>
            </w:tcBorders>
            <w:gridSpan w:val="2"/>
          </w:tcPr>
          <w:p>
            <w:pPr>
              <w:ind w:left="4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00" w:type="dxa"/>
            <w:vAlign w:val="bottom"/>
            <w:gridSpan w:val="2"/>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41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1,518.9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1,244.8</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1,962.5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1,561.1</w:t>
            </w:r>
          </w:p>
        </w:tc>
        <w:tc>
          <w:tcPr>
            <w:tcW w:w="0" w:type="dxa"/>
            <w:vAlign w:val="bottom"/>
          </w:tcPr>
          <w:p>
            <w:pPr>
              <w:spacing w:after="0"/>
              <w:rPr>
                <w:sz w:val="1"/>
                <w:szCs w:val="1"/>
                <w:color w:val="auto"/>
              </w:rPr>
            </w:pPr>
          </w:p>
        </w:tc>
      </w:tr>
      <w:tr>
        <w:trPr>
          <w:trHeight w:val="51"/>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Cost of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(148.3)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(178.9)</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(308.5)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(297.8)</w:t>
            </w:r>
          </w:p>
        </w:tc>
        <w:tc>
          <w:tcPr>
            <w:tcW w:w="0" w:type="dxa"/>
            <w:vAlign w:val="bottom"/>
          </w:tcPr>
          <w:p>
            <w:pPr>
              <w:spacing w:after="0"/>
              <w:rPr>
                <w:sz w:val="1"/>
                <w:szCs w:val="1"/>
                <w:color w:val="auto"/>
              </w:rPr>
            </w:pPr>
          </w:p>
        </w:tc>
      </w:tr>
      <w:tr>
        <w:trPr>
          <w:trHeight w:val="51"/>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(564.8)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(550.3)</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(1,599.5)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(1,642.4)</w:t>
            </w:r>
          </w:p>
        </w:tc>
        <w:tc>
          <w:tcPr>
            <w:tcW w:w="0" w:type="dxa"/>
            <w:vAlign w:val="bottom"/>
          </w:tcPr>
          <w:p>
            <w:pPr>
              <w:spacing w:after="0"/>
              <w:rPr>
                <w:sz w:val="1"/>
                <w:szCs w:val="1"/>
                <w:color w:val="auto"/>
              </w:rPr>
            </w:pPr>
          </w:p>
        </w:tc>
      </w:tr>
      <w:tr>
        <w:trPr>
          <w:trHeight w:val="51"/>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tc>
        <w:tc>
          <w:tcPr>
            <w:tcW w:w="116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(27.3)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(18.1)</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(60.7)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(46.6)</w:t>
            </w:r>
          </w:p>
        </w:tc>
        <w:tc>
          <w:tcPr>
            <w:tcW w:w="0" w:type="dxa"/>
            <w:vAlign w:val="bottom"/>
          </w:tcPr>
          <w:p>
            <w:pPr>
              <w:spacing w:after="0"/>
              <w:rPr>
                <w:sz w:val="1"/>
                <w:szCs w:val="1"/>
                <w:color w:val="auto"/>
              </w:rPr>
            </w:pPr>
          </w:p>
        </w:tc>
      </w:tr>
      <w:tr>
        <w:trPr>
          <w:trHeight w:val="51"/>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(121.2)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(132.4)</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(345.8)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(420.3)</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(729.5)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(410.9)</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(884.7)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(719.9)</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56.3</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154.6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103.0</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Operating profit / (loss)</w:t>
            </w:r>
          </w:p>
        </w:tc>
        <w:tc>
          <w:tcPr>
            <w:tcW w:w="116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(46.9)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10.5</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(1,082.1)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(1,462.9)</w:t>
            </w:r>
          </w:p>
        </w:tc>
        <w:tc>
          <w:tcPr>
            <w:tcW w:w="0" w:type="dxa"/>
            <w:vAlign w:val="bottom"/>
          </w:tcPr>
          <w:p>
            <w:pPr>
              <w:spacing w:after="0"/>
              <w:rPr>
                <w:sz w:val="1"/>
                <w:szCs w:val="1"/>
                <w:color w:val="auto"/>
              </w:rPr>
            </w:pPr>
          </w:p>
        </w:tc>
      </w:tr>
      <w:tr>
        <w:trPr>
          <w:trHeight w:val="50"/>
        </w:trPr>
        <w:tc>
          <w:tcPr>
            <w:tcW w:w="41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96.8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156.2</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324.8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498.8</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(8.0)</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(66.1)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(14.8)</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Profit / (Loss) before tax</w:t>
            </w:r>
          </w:p>
        </w:tc>
        <w:tc>
          <w:tcPr>
            <w:tcW w:w="116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24.7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158.7</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(823.4)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(978.9)</w:t>
            </w:r>
          </w:p>
        </w:tc>
        <w:tc>
          <w:tcPr>
            <w:tcW w:w="0" w:type="dxa"/>
            <w:vAlign w:val="bottom"/>
          </w:tcPr>
          <w:p>
            <w:pPr>
              <w:spacing w:after="0"/>
              <w:rPr>
                <w:sz w:val="1"/>
                <w:szCs w:val="1"/>
                <w:color w:val="auto"/>
              </w:rPr>
            </w:pPr>
          </w:p>
        </w:tc>
      </w:tr>
      <w:tr>
        <w:trPr>
          <w:trHeight w:val="50"/>
        </w:trPr>
        <w:tc>
          <w:tcPr>
            <w:tcW w:w="41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(53.4)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39.4</w:t>
            </w:r>
          </w:p>
        </w:tc>
        <w:tc>
          <w:tcPr>
            <w:tcW w:w="120" w:type="dxa"/>
            <w:vAlign w:val="bottom"/>
            <w:tcBorders>
              <w:right w:val="single" w:sz="8" w:color="BECD32"/>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54.1</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5A64"/>
              </w:rPr>
              <w:t>Net profit / (loss)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Borders>
              <w:right w:val="single" w:sz="8" w:color="BECD32"/>
            </w:tcBorders>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(28.7)</w:t>
            </w: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198.1</w:t>
            </w:r>
          </w:p>
        </w:tc>
        <w:tc>
          <w:tcPr>
            <w:tcW w:w="120" w:type="dxa"/>
            <w:vAlign w:val="bottom"/>
            <w:tcBorders>
              <w:right w:val="single" w:sz="8" w:color="BECD32"/>
            </w:tcBorders>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(831.1)</w:t>
            </w: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(924.8)</w:t>
            </w:r>
          </w:p>
        </w:tc>
        <w:tc>
          <w:tcPr>
            <w:tcW w:w="0" w:type="dxa"/>
            <w:vAlign w:val="bottom"/>
          </w:tcPr>
          <w:p>
            <w:pPr>
              <w:spacing w:after="0"/>
              <w:rPr>
                <w:sz w:val="1"/>
                <w:szCs w:val="1"/>
                <w:color w:val="auto"/>
              </w:rPr>
            </w:pPr>
          </w:p>
        </w:tc>
      </w:tr>
      <w:tr>
        <w:trPr>
          <w:trHeight w:val="223"/>
        </w:trPr>
        <w:tc>
          <w:tcPr>
            <w:tcW w:w="4100" w:type="dxa"/>
            <w:vAlign w:val="bottom"/>
            <w:tcBorders>
              <w:top w:val="single" w:sz="8" w:color="005A64"/>
            </w:tcBorders>
          </w:tcPr>
          <w:p>
            <w:pPr>
              <w:ind w:left="20"/>
              <w:spacing w:after="0"/>
              <w:rPr>
                <w:sz w:val="20"/>
                <w:szCs w:val="20"/>
                <w:color w:val="auto"/>
              </w:rPr>
            </w:pPr>
            <w:r>
              <w:rPr>
                <w:rFonts w:ascii="Times New Roman" w:cs="Times New Roman" w:eastAsia="Times New Roman" w:hAnsi="Times New Roman"/>
                <w:sz w:val="14"/>
                <w:szCs w:val="14"/>
                <w:b w:val="1"/>
                <w:bCs w:val="1"/>
                <w:color w:val="3C9673"/>
              </w:rPr>
              <w:t>Earnings / (Loss) per share</w:t>
            </w:r>
          </w:p>
        </w:tc>
        <w:tc>
          <w:tcPr>
            <w:tcW w:w="220" w:type="dxa"/>
            <w:vAlign w:val="bottom"/>
          </w:tcPr>
          <w:p>
            <w:pPr>
              <w:spacing w:after="0"/>
              <w:rPr>
                <w:sz w:val="19"/>
                <w:szCs w:val="19"/>
                <w:color w:val="auto"/>
              </w:rPr>
            </w:pPr>
          </w:p>
        </w:tc>
        <w:tc>
          <w:tcPr>
            <w:tcW w:w="1160" w:type="dxa"/>
            <w:vAlign w:val="bottom"/>
            <w:tcBorders>
              <w:top w:val="single" w:sz="8" w:color="005A64"/>
            </w:tcBorders>
          </w:tcPr>
          <w:p>
            <w:pPr>
              <w:spacing w:after="0"/>
              <w:rPr>
                <w:sz w:val="19"/>
                <w:szCs w:val="19"/>
                <w:color w:val="auto"/>
              </w:rPr>
            </w:pPr>
          </w:p>
        </w:tc>
        <w:tc>
          <w:tcPr>
            <w:tcW w:w="140" w:type="dxa"/>
            <w:vAlign w:val="bottom"/>
            <w:tcBorders>
              <w:right w:val="single" w:sz="8" w:color="BECE33"/>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005A64"/>
            </w:tcBorders>
          </w:tcPr>
          <w:p>
            <w:pPr>
              <w:spacing w:after="0"/>
              <w:rPr>
                <w:sz w:val="19"/>
                <w:szCs w:val="19"/>
                <w:color w:val="auto"/>
              </w:rPr>
            </w:pPr>
          </w:p>
        </w:tc>
        <w:tc>
          <w:tcPr>
            <w:tcW w:w="120" w:type="dxa"/>
            <w:vAlign w:val="bottom"/>
            <w:tcBorders>
              <w:right w:val="single" w:sz="8" w:color="BECE33"/>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005A64"/>
            </w:tcBorders>
          </w:tcPr>
          <w:p>
            <w:pPr>
              <w:spacing w:after="0"/>
              <w:rPr>
                <w:sz w:val="19"/>
                <w:szCs w:val="19"/>
                <w:color w:val="auto"/>
              </w:rPr>
            </w:pPr>
          </w:p>
        </w:tc>
        <w:tc>
          <w:tcPr>
            <w:tcW w:w="820" w:type="dxa"/>
            <w:vAlign w:val="bottom"/>
            <w:tcBorders>
              <w:top w:val="single" w:sz="8" w:color="005A64"/>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005A64"/>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005A64"/>
            </w:tcBorders>
          </w:tcPr>
          <w:p>
            <w:pPr>
              <w:spacing w:after="0"/>
              <w:rPr>
                <w:sz w:val="19"/>
                <w:szCs w:val="19"/>
                <w:color w:val="auto"/>
              </w:rPr>
            </w:pPr>
          </w:p>
        </w:tc>
        <w:tc>
          <w:tcPr>
            <w:tcW w:w="820" w:type="dxa"/>
            <w:vAlign w:val="bottom"/>
            <w:tcBorders>
              <w:top w:val="single" w:sz="8" w:color="005A64"/>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00" w:type="dxa"/>
            <w:vAlign w:val="bottom"/>
            <w:tcBorders>
              <w:top w:val="single" w:sz="8" w:color="7FACB1"/>
            </w:tcBorders>
          </w:tcPr>
          <w:p>
            <w:pPr>
              <w:ind w:left="20"/>
              <w:spacing w:after="0"/>
              <w:rPr>
                <w:sz w:val="20"/>
                <w:szCs w:val="20"/>
                <w:color w:val="auto"/>
              </w:rPr>
            </w:pPr>
            <w:r>
              <w:rPr>
                <w:rFonts w:ascii="Times New Roman" w:cs="Times New Roman" w:eastAsia="Times New Roman" w:hAnsi="Times New Roman"/>
                <w:sz w:val="14"/>
                <w:szCs w:val="14"/>
                <w:color w:val="005A64"/>
              </w:rPr>
              <w:t>Basic earnings / (loss) per share</w:t>
            </w:r>
          </w:p>
        </w:tc>
        <w:tc>
          <w:tcPr>
            <w:tcW w:w="220" w:type="dxa"/>
            <w:vAlign w:val="bottom"/>
          </w:tcPr>
          <w:p>
            <w:pPr>
              <w:spacing w:after="0"/>
              <w:rPr>
                <w:sz w:val="17"/>
                <w:szCs w:val="17"/>
                <w:color w:val="auto"/>
              </w:rPr>
            </w:pPr>
          </w:p>
        </w:tc>
        <w:tc>
          <w:tcPr>
            <w:tcW w:w="1160" w:type="dxa"/>
            <w:vAlign w:val="bottom"/>
            <w:tcBorders>
              <w:top w:val="single" w:sz="8" w:color="7FACB1"/>
            </w:tcBorders>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(0.12)</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7FACB1"/>
            </w:tcBorders>
          </w:tcPr>
          <w:p>
            <w:pPr>
              <w:spacing w:after="0"/>
              <w:rPr>
                <w:sz w:val="17"/>
                <w:szCs w:val="17"/>
                <w:color w:val="auto"/>
              </w:rPr>
            </w:pPr>
          </w:p>
        </w:tc>
        <w:tc>
          <w:tcPr>
            <w:tcW w:w="8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0.82</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(3.45)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7FACB1"/>
            </w:tcBorders>
          </w:tcPr>
          <w:p>
            <w:pPr>
              <w:spacing w:after="0"/>
              <w:rPr>
                <w:sz w:val="17"/>
                <w:szCs w:val="17"/>
                <w:color w:val="auto"/>
              </w:rPr>
            </w:pPr>
          </w:p>
        </w:tc>
        <w:tc>
          <w:tcPr>
            <w:tcW w:w="8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(3.83)</w:t>
            </w:r>
          </w:p>
        </w:tc>
        <w:tc>
          <w:tcPr>
            <w:tcW w:w="0" w:type="dxa"/>
            <w:vAlign w:val="bottom"/>
          </w:tcPr>
          <w:p>
            <w:pPr>
              <w:spacing w:after="0"/>
              <w:rPr>
                <w:sz w:val="1"/>
                <w:szCs w:val="1"/>
                <w:color w:val="auto"/>
              </w:rPr>
            </w:pPr>
          </w:p>
        </w:tc>
      </w:tr>
      <w:tr>
        <w:trPr>
          <w:trHeight w:val="50"/>
        </w:trPr>
        <w:tc>
          <w:tcPr>
            <w:tcW w:w="41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Diluted earnings / (loss) per share</w:t>
            </w:r>
          </w:p>
        </w:tc>
        <w:tc>
          <w:tcPr>
            <w:tcW w:w="1160" w:type="dxa"/>
            <w:vAlign w:val="bottom"/>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(0.12)</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0.81</w:t>
            </w:r>
          </w:p>
        </w:tc>
        <w:tc>
          <w:tcPr>
            <w:tcW w:w="12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(3.45)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(3.83)</w:t>
            </w:r>
          </w:p>
        </w:tc>
        <w:tc>
          <w:tcPr>
            <w:tcW w:w="0" w:type="dxa"/>
            <w:vAlign w:val="bottom"/>
          </w:tcPr>
          <w:p>
            <w:pPr>
              <w:spacing w:after="0"/>
              <w:rPr>
                <w:sz w:val="1"/>
                <w:szCs w:val="1"/>
                <w:color w:val="auto"/>
              </w:rPr>
            </w:pPr>
          </w:p>
        </w:tc>
      </w:tr>
      <w:tr>
        <w:trPr>
          <w:trHeight w:val="50"/>
        </w:trPr>
        <w:tc>
          <w:tcPr>
            <w:tcW w:w="41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22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22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w:t>
            </w:r>
          </w:p>
        </w:tc>
      </w:tr>
    </w:tbl>
    <w:p>
      <w:pPr>
        <w:sectPr>
          <w:pgSz w:w="11900" w:h="16838" w:orient="portrait"/>
          <w:cols w:equalWidth="0" w:num="1">
            <w:col w:w="11220"/>
          </w:cols>
          <w:pgMar w:left="320" w:top="166" w:right="359" w:bottom="1440" w:gutter="0" w:footer="0" w:header="0"/>
        </w:sectPr>
      </w:pPr>
    </w:p>
    <w:bookmarkStart w:id="8" w:name="page9"/>
    <w:bookmarkEnd w:id="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profit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274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743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76" w:lineRule="exact"/>
        <w:rPr>
          <w:sz w:val="20"/>
          <w:szCs w:val="20"/>
          <w:color w:val="auto"/>
        </w:rPr>
      </w:pPr>
    </w:p>
    <w:p>
      <w:pPr>
        <w:ind w:left="20" w:right="80"/>
        <w:spacing w:after="0" w:line="345" w:lineRule="auto"/>
        <w:rPr>
          <w:sz w:val="20"/>
          <w:szCs w:val="20"/>
          <w:color w:val="auto"/>
        </w:rPr>
      </w:pPr>
      <w:r>
        <w:rPr>
          <w:rFonts w:ascii="Times New Roman" w:cs="Times New Roman" w:eastAsia="Times New Roman" w:hAnsi="Times New Roman"/>
          <w:sz w:val="14"/>
          <w:szCs w:val="14"/>
          <w:i w:val="1"/>
          <w:iCs w:val="1"/>
          <w:color w:val="005A64"/>
        </w:rPr>
        <w:t>Other comprehensive income that may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005A64"/>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743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87" w:lineRule="exact"/>
        <w:rPr>
          <w:sz w:val="20"/>
          <w:szCs w:val="20"/>
          <w:color w:val="auto"/>
        </w:rPr>
      </w:pPr>
    </w:p>
    <w:p>
      <w:pPr>
        <w:ind w:left="2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may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right="60"/>
        <w:spacing w:after="0" w:line="345" w:lineRule="auto"/>
        <w:rPr>
          <w:sz w:val="20"/>
          <w:szCs w:val="20"/>
          <w:color w:val="auto"/>
        </w:rPr>
      </w:pPr>
      <w:r>
        <w:rPr>
          <w:rFonts w:ascii="Times New Roman" w:cs="Times New Roman" w:eastAsia="Times New Roman" w:hAnsi="Times New Roman"/>
          <w:sz w:val="14"/>
          <w:szCs w:val="14"/>
          <w:i w:val="1"/>
          <w:iCs w:val="1"/>
          <w:color w:val="005A64"/>
        </w:rPr>
        <w:t>Other comprehensive loss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20" w:right="260"/>
        <w:spacing w:after="0" w:line="342"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743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20" w:right="56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will not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7432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20" w:right="1520"/>
        <w:spacing w:after="0" w:line="446" w:lineRule="auto"/>
        <w:rPr>
          <w:sz w:val="20"/>
          <w:szCs w:val="20"/>
          <w:color w:val="auto"/>
        </w:rPr>
      </w:pPr>
      <w:r>
        <w:rPr>
          <w:rFonts w:ascii="Times New Roman" w:cs="Times New Roman" w:eastAsia="Times New Roman" w:hAnsi="Times New Roman"/>
          <w:sz w:val="14"/>
          <w:szCs w:val="14"/>
          <w:b w:val="1"/>
          <w:bCs w:val="1"/>
          <w:color w:val="005A64"/>
        </w:rPr>
        <w:t>Other comprehensive loss, net of tax Comprehensive income /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43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274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19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00" w:type="dxa"/>
            <w:vAlign w:val="bottom"/>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24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1920" w:type="dxa"/>
            <w:vAlign w:val="bottom"/>
            <w:gridSpan w:val="4"/>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980" w:type="dxa"/>
            <w:vAlign w:val="bottom"/>
            <w:gridSpan w:val="4"/>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0"/>
        </w:trPr>
        <w:tc>
          <w:tcPr>
            <w:tcW w:w="6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(831.1)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(924.8)</w:t>
            </w:r>
          </w:p>
        </w:tc>
        <w:tc>
          <w:tcPr>
            <w:tcW w:w="0" w:type="dxa"/>
            <w:vAlign w:val="bottom"/>
          </w:tcPr>
          <w:p>
            <w:pPr>
              <w:spacing w:after="0"/>
              <w:rPr>
                <w:sz w:val="1"/>
                <w:szCs w:val="1"/>
                <w:color w:val="auto"/>
              </w:rPr>
            </w:pPr>
          </w:p>
        </w:tc>
      </w:tr>
      <w:tr>
        <w:trPr>
          <w:trHeight w:val="50"/>
        </w:trPr>
        <w:tc>
          <w:tcPr>
            <w:tcW w:w="6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7FACB1"/>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7FACB1"/>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7FACB1"/>
            </w:tcBorders>
          </w:tcPr>
          <w:p>
            <w:pPr>
              <w:spacing w:after="0"/>
              <w:rPr>
                <w:sz w:val="19"/>
                <w:szCs w:val="19"/>
                <w:color w:val="auto"/>
              </w:rPr>
            </w:pPr>
          </w:p>
        </w:tc>
        <w:tc>
          <w:tcPr>
            <w:tcW w:w="820" w:type="dxa"/>
            <w:vAlign w:val="bottom"/>
            <w:tcBorders>
              <w:bottom w:val="single" w:sz="8" w:color="7FACB1"/>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7FACB1"/>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7FACB1"/>
            </w:tcBorders>
          </w:tcPr>
          <w:p>
            <w:pPr>
              <w:spacing w:after="0"/>
              <w:rPr>
                <w:sz w:val="19"/>
                <w:szCs w:val="19"/>
                <w:color w:val="auto"/>
              </w:rPr>
            </w:pPr>
          </w:p>
        </w:tc>
        <w:tc>
          <w:tcPr>
            <w:tcW w:w="76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-668020</wp:posOffset>
            </wp:positionV>
            <wp:extent cx="4174490" cy="268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74490" cy="2682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(7.4)</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(12.0)</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(101.5)</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11.7</w:t>
            </w:r>
          </w:p>
        </w:tc>
      </w:tr>
      <w:tr>
        <w:trPr>
          <w:trHeight w:val="50"/>
        </w:trPr>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r>
      <w:tr>
        <w:trPr>
          <w:trHeight w:val="294"/>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(7.4)</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(12.0)</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(101.5)</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11.7</w:t>
            </w:r>
          </w:p>
        </w:tc>
      </w:tr>
      <w:tr>
        <w:trPr>
          <w:trHeight w:val="158"/>
        </w:trPr>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005A64"/>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291465</wp:posOffset>
            </wp:positionV>
            <wp:extent cx="805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291465</wp:posOffset>
            </wp:positionV>
            <wp:extent cx="796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291465</wp:posOffset>
            </wp:positionV>
            <wp:extent cx="428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-307975</wp:posOffset>
            </wp:positionV>
            <wp:extent cx="428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-8255</wp:posOffset>
            </wp:positionV>
            <wp:extent cx="428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5A64"/>
              </w:rPr>
              <w:t>(14.9)</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5A64"/>
              </w:rPr>
              <w:t>(22.1)</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(108.3)</w:t>
            </w:r>
          </w:p>
        </w:tc>
      </w:tr>
      <w:tr>
        <w:trPr>
          <w:trHeight w:val="158"/>
        </w:trPr>
        <w:tc>
          <w:tcPr>
            <w:tcW w:w="680" w:type="dxa"/>
            <w:vAlign w:val="bottom"/>
            <w:tcBorders>
              <w:bottom w:val="single" w:sz="8" w:color="7FACB1"/>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7FACB1"/>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(14.9)</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0.7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(22.1)</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(108.3)</w:t>
            </w:r>
          </w:p>
        </w:tc>
      </w:tr>
      <w:tr>
        <w:trPr>
          <w:trHeight w:val="158"/>
        </w:trPr>
        <w:tc>
          <w:tcPr>
            <w:tcW w:w="680" w:type="dxa"/>
            <w:vAlign w:val="bottom"/>
            <w:tcBorders>
              <w:bottom w:val="single" w:sz="8" w:color="005A64"/>
            </w:tcBorders>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005A64"/>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005A64"/>
            </w:tcBorders>
          </w:tcPr>
          <w:p>
            <w:pPr>
              <w:spacing w:after="0"/>
              <w:rPr>
                <w:sz w:val="13"/>
                <w:szCs w:val="13"/>
                <w:color w:val="auto"/>
              </w:rPr>
            </w:pPr>
          </w:p>
        </w:tc>
      </w:tr>
      <w:tr>
        <w:trPr>
          <w:trHeight w:val="200"/>
        </w:trPr>
        <w:tc>
          <w:tcPr>
            <w:tcW w:w="6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(22.3)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(11.3)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(123.6)</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(96.6)</w:t>
            </w:r>
          </w:p>
        </w:tc>
      </w:tr>
      <w:tr>
        <w:trPr>
          <w:trHeight w:val="50"/>
        </w:trPr>
        <w:tc>
          <w:tcPr>
            <w:tcW w:w="68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r>
      <w:tr>
        <w:trPr>
          <w:trHeight w:val="200"/>
        </w:trPr>
        <w:tc>
          <w:tcPr>
            <w:tcW w:w="68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(51.0)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186.8</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005A64"/>
              </w:rPr>
              <w:t>(954.7)</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(1,021.4)</w:t>
            </w:r>
          </w:p>
        </w:tc>
      </w:tr>
      <w:tr>
        <w:trPr>
          <w:trHeight w:val="50"/>
        </w:trPr>
        <w:tc>
          <w:tcPr>
            <w:tcW w:w="68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r>
    </w:tbl>
    <w:p>
      <w:pPr>
        <w:spacing w:after="0" w:line="274" w:lineRule="exact"/>
        <w:rPr>
          <w:sz w:val="20"/>
          <w:szCs w:val="20"/>
          <w:color w:val="auto"/>
        </w:rPr>
      </w:pPr>
    </w:p>
    <w:p>
      <w:pPr>
        <w:sectPr>
          <w:pgSz w:w="11900" w:h="16838" w:orient="portrait"/>
          <w:cols w:equalWidth="0" w:num="2">
            <w:col w:w="4220" w:space="420"/>
            <w:col w:w="6580"/>
          </w:cols>
          <w:pgMar w:left="320" w:top="166" w:right="35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w:t>
            </w:r>
          </w:p>
        </w:tc>
      </w:tr>
    </w:tbl>
    <w:p>
      <w:pPr>
        <w:sectPr>
          <w:pgSz w:w="11900" w:h="16838" w:orient="portrait"/>
          <w:cols w:equalWidth="0" w:num="1">
            <w:col w:w="11220"/>
          </w:cols>
          <w:pgMar w:left="320" w:top="166" w:right="359" w:bottom="1440" w:gutter="0" w:footer="0" w:header="0"/>
          <w:type w:val="continuous"/>
        </w:sectPr>
      </w:pPr>
    </w:p>
    <w:bookmarkStart w:id="9" w:name="page10"/>
    <w:bookmarkEnd w:id="9"/>
    <w:p>
      <w:pPr>
        <w:ind w:left="106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234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Borders>
              <w:top w:val="single" w:sz="8" w:color="BECD32"/>
            </w:tcBorders>
          </w:tcPr>
          <w:p>
            <w:pPr>
              <w:spacing w:after="0"/>
              <w:rPr>
                <w:sz w:val="19"/>
                <w:szCs w:val="19"/>
                <w:color w:val="auto"/>
              </w:rPr>
            </w:pPr>
          </w:p>
        </w:tc>
        <w:tc>
          <w:tcPr>
            <w:tcW w:w="2240" w:type="dxa"/>
            <w:vAlign w:val="bottom"/>
            <w:tcBorders>
              <w:top w:val="single" w:sz="8" w:color="BECD32"/>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w:t>
            </w:r>
          </w:p>
        </w:tc>
      </w:tr>
      <w:tr>
        <w:trPr>
          <w:trHeight w:val="25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120" w:type="dxa"/>
            <w:vAlign w:val="bottom"/>
          </w:tcPr>
          <w:p>
            <w:pPr>
              <w:spacing w:after="0"/>
              <w:rPr>
                <w:sz w:val="22"/>
                <w:szCs w:val="22"/>
                <w:color w:val="auto"/>
              </w:rPr>
            </w:pPr>
          </w:p>
        </w:tc>
        <w:tc>
          <w:tcPr>
            <w:tcW w:w="140" w:type="dxa"/>
            <w:vAlign w:val="bottom"/>
            <w:tcBorders>
              <w:right w:val="single" w:sz="8" w:color="BECD32"/>
            </w:tcBorders>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r>
      <w:tr>
        <w:trPr>
          <w:trHeight w:val="25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Assets</w:t>
            </w:r>
          </w:p>
        </w:tc>
        <w:tc>
          <w:tcPr>
            <w:tcW w:w="1260" w:type="dxa"/>
            <w:vAlign w:val="bottom"/>
            <w:tcBorders>
              <w:right w:val="single" w:sz="8" w:color="BECD32"/>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224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Goodwill</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357.7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380.6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2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intangible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9"/>
                <w:szCs w:val="19"/>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1,389.8</w:t>
            </w:r>
          </w:p>
        </w:tc>
        <w:tc>
          <w:tcPr>
            <w:tcW w:w="14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790.4</w:t>
            </w:r>
          </w:p>
        </w:tc>
      </w:tr>
      <w:tr>
        <w:trPr>
          <w:trHeight w:val="91"/>
        </w:trPr>
        <w:tc>
          <w:tcPr>
            <w:tcW w:w="5240" w:type="dxa"/>
            <w:vAlign w:val="bottom"/>
            <w:tcBorders>
              <w:bottom w:val="single" w:sz="8" w:color="7FACB1"/>
            </w:tcBorders>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tcBorders>
              <w:bottom w:val="single" w:sz="8" w:color="7FACB1"/>
            </w:tcBorders>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tcBorders>
              <w:bottom w:val="single" w:sz="8" w:color="7FACB1"/>
            </w:tcBorders>
          </w:tcPr>
          <w:p>
            <w:pPr>
              <w:spacing w:after="0"/>
              <w:rPr>
                <w:sz w:val="7"/>
                <w:szCs w:val="7"/>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1,039.7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935.3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Right-of-use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201.0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248.1</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9.8</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2,476.0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1,254.0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5,510.4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3,726.2</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Inventories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225.7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283.3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and 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690.8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1,463.9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4,434.7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7,021.7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292.9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212.7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84.8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10,092.9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9,761.9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15,830.7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18,803.5</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21,341.1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38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Equity and liabilities</w:t>
            </w:r>
          </w:p>
        </w:tc>
        <w:tc>
          <w:tcPr>
            <w:tcW w:w="112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Equity</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248.6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Capital reserve</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1,453.2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1,398.6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Treasury shares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Retained earnings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18,266.9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19,098.0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reserves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(1,483.3)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(1,325.5)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18,477.3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19,411.1</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192.0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214.7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96.4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219.0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183.0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85.5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87.5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641.3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595.4</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payables and other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399.8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426.7</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597.4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1,443.4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211.5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796.1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294.9</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158.0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169.4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2,222.5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2,523.2</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2,863.8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3,118.6</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 and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21,341.1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10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bl>
    <w:p>
      <w:pPr>
        <w:sectPr>
          <w:pgSz w:w="11900" w:h="16838" w:orient="portrait"/>
          <w:cols w:equalWidth="0" w:num="1">
            <w:col w:w="11220"/>
          </w:cols>
          <w:pgMar w:left="320" w:top="166" w:right="359" w:bottom="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w:t>
            </w:r>
          </w:p>
        </w:tc>
      </w:tr>
    </w:tbl>
    <w:p>
      <w:pPr>
        <w:sectPr>
          <w:pgSz w:w="11900" w:h="16838" w:orient="portrait"/>
          <w:cols w:equalWidth="0" w:num="1">
            <w:col w:w="11180"/>
          </w:cols>
          <w:pgMar w:left="360" w:top="148" w:right="359" w:bottom="1440" w:gutter="0" w:footer="0" w:header="0"/>
        </w:sectPr>
      </w:pPr>
    </w:p>
    <w:bookmarkStart w:id="11" w:name="page12"/>
    <w:bookmarkEnd w:id="1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0465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005A64"/>
              </w:rPr>
              <w:t>Equity attributable to equity holders of the parent</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160" w:type="dxa"/>
            <w:vAlign w:val="bottom"/>
            <w:tcBorders>
              <w:bottom w:val="single" w:sz="8" w:color="005A64"/>
            </w:tcBorders>
            <w:gridSpan w:val="2"/>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22"/>
                <w:szCs w:val="22"/>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2"/>
                <w:szCs w:val="12"/>
                <w:b w:val="1"/>
                <w:bCs w:val="1"/>
                <w:color w:val="005A64"/>
              </w:rPr>
              <w:t>Note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005A64"/>
              </w:rPr>
              <w:t>Share capital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Capital reserve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Treasury shares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Retained earnings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005A64"/>
              </w:rPr>
              <w:t>Other reserves</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005A64"/>
              </w:rPr>
              <w:t>Total equity</w:t>
            </w: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1,229.4</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19,763.3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(984.6)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20,245.9</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(924.8)</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(924.8)</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(96.6)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(96.6)</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(924.8)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(96.6)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(1,021.4)</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143.6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(255.6)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(110.0)</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September 30,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1,373.0</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18,838.5</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(1,336.8)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19,114.5</w:t>
            </w:r>
          </w:p>
        </w:tc>
        <w:tc>
          <w:tcPr>
            <w:tcW w:w="140" w:type="dxa"/>
            <w:vAlign w:val="bottom"/>
          </w:tcPr>
          <w:p>
            <w:pPr>
              <w:spacing w:after="0"/>
              <w:rPr>
                <w:sz w:val="15"/>
                <w:szCs w:val="15"/>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800" w:type="dxa"/>
            <w:vAlign w:val="bottom"/>
            <w:tcBorders>
              <w:top w:val="single" w:sz="8" w:color="005A64"/>
              <w:bottom w:val="single" w:sz="8" w:color="005A64"/>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BECE33"/>
            </w:tcBorders>
          </w:tcPr>
          <w:p>
            <w:pPr>
              <w:spacing w:after="0"/>
              <w:rPr>
                <w:sz w:val="21"/>
                <w:szCs w:val="21"/>
                <w:color w:val="auto"/>
              </w:rPr>
            </w:pPr>
          </w:p>
        </w:tc>
        <w:tc>
          <w:tcPr>
            <w:tcW w:w="98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6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40" w:type="dxa"/>
            <w:vAlign w:val="bottom"/>
            <w:tcBorders>
              <w:bottom w:val="single" w:sz="8" w:color="BECE33"/>
            </w:tcBorders>
          </w:tcPr>
          <w:p>
            <w:pPr>
              <w:spacing w:after="0"/>
              <w:rPr>
                <w:sz w:val="21"/>
                <w:szCs w:val="21"/>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1,398.6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19,098.0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(1,325.5)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19,411.1</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(831.1)</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(831.1)</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(123.6)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(123.6)</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(831.1)</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(123.6)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(954.7)</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54.6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(34.2)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20.9</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September 30,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1,453.2</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(8.1)</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18,266.9</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(1,483.3)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18,477.3</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E33"/>
            </w:tcBorders>
          </w:tcPr>
          <w:p>
            <w:pPr>
              <w:spacing w:after="0"/>
              <w:rPr>
                <w:sz w:val="2"/>
                <w:szCs w:val="2"/>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w:t>
            </w:r>
          </w:p>
        </w:tc>
      </w:tr>
    </w:tbl>
    <w:p>
      <w:pPr>
        <w:sectPr>
          <w:pgSz w:w="11900" w:h="16838" w:orient="portrait"/>
          <w:cols w:equalWidth="0" w:num="1">
            <w:col w:w="11220"/>
          </w:cols>
          <w:pgMar w:left="320" w:top="167" w:right="359" w:bottom="1440" w:gutter="0" w:footer="0" w:header="0"/>
        </w:sectPr>
      </w:pPr>
    </w:p>
    <w:bookmarkStart w:id="12" w:name="page13"/>
    <w:bookmarkEnd w:id="1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151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4"/>
          </w:tcPr>
          <w:p>
            <w:pPr>
              <w:ind w:left="680"/>
              <w:spacing w:after="0"/>
              <w:rPr>
                <w:sz w:val="20"/>
                <w:szCs w:val="20"/>
                <w:color w:val="auto"/>
              </w:rPr>
            </w:pPr>
            <w:r>
              <w:rPr>
                <w:rFonts w:ascii="Times New Roman" w:cs="Times New Roman" w:eastAsia="Times New Roman" w:hAnsi="Times New Roman"/>
                <w:sz w:val="12"/>
                <w:szCs w:val="12"/>
                <w:b w:val="1"/>
                <w:bCs w:val="1"/>
                <w:color w:val="005A64"/>
              </w:rPr>
              <w:t>Three months ended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tcPr>
          <w:p>
            <w:pPr>
              <w:ind w:left="700"/>
              <w:spacing w:after="0"/>
              <w:rPr>
                <w:sz w:val="20"/>
                <w:szCs w:val="20"/>
                <w:color w:val="auto"/>
              </w:rPr>
            </w:pPr>
            <w:r>
              <w:rPr>
                <w:rFonts w:ascii="Times New Roman" w:cs="Times New Roman" w:eastAsia="Times New Roman" w:hAnsi="Times New Roman"/>
                <w:sz w:val="12"/>
                <w:szCs w:val="12"/>
                <w:b w:val="1"/>
                <w:bCs w:val="1"/>
                <w:color w:val="005A64"/>
              </w:rPr>
              <w:t>Nine months ended</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ind w:left="860"/>
              <w:spacing w:after="0"/>
              <w:rPr>
                <w:sz w:val="20"/>
                <w:szCs w:val="20"/>
                <w:color w:val="auto"/>
              </w:rPr>
            </w:pPr>
            <w:r>
              <w:rPr>
                <w:rFonts w:ascii="Times New Roman" w:cs="Times New Roman" w:eastAsia="Times New Roman" w:hAnsi="Times New Roman"/>
                <w:sz w:val="12"/>
                <w:szCs w:val="12"/>
                <w:b w:val="1"/>
                <w:bCs w:val="1"/>
                <w:color w:val="005A64"/>
              </w:rPr>
              <w:t>September 30,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840"/>
              <w:spacing w:after="0"/>
              <w:rPr>
                <w:sz w:val="20"/>
                <w:szCs w:val="20"/>
                <w:color w:val="auto"/>
              </w:rPr>
            </w:pPr>
            <w:r>
              <w:rPr>
                <w:rFonts w:ascii="Times New Roman" w:cs="Times New Roman" w:eastAsia="Times New Roman" w:hAnsi="Times New Roman"/>
                <w:sz w:val="12"/>
                <w:szCs w:val="12"/>
                <w:b w:val="1"/>
                <w:bCs w:val="1"/>
                <w:color w:val="005A64"/>
              </w:rPr>
              <w:t>September 30,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bottom w:val="single" w:sz="8" w:color="BECD32"/>
            </w:tcBorders>
            <w:gridSpan w:val="2"/>
          </w:tcPr>
          <w:p>
            <w:pPr>
              <w:spacing w:after="0"/>
              <w:rPr>
                <w:sz w:val="12"/>
                <w:szCs w:val="12"/>
                <w:color w:val="auto"/>
              </w:rPr>
            </w:pPr>
          </w:p>
        </w:tc>
        <w:tc>
          <w:tcPr>
            <w:tcW w:w="140" w:type="dxa"/>
            <w:vAlign w:val="bottom"/>
            <w:tcBorders>
              <w:bottom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2024</w:t>
            </w:r>
          </w:p>
        </w:tc>
        <w:tc>
          <w:tcPr>
            <w:tcW w:w="120" w:type="dxa"/>
            <w:vAlign w:val="bottom"/>
          </w:tcPr>
          <w:p>
            <w:pPr>
              <w:spacing w:after="0"/>
              <w:rPr>
                <w:sz w:val="12"/>
                <w:szCs w:val="12"/>
                <w:color w:val="auto"/>
              </w:rPr>
            </w:pPr>
          </w:p>
        </w:tc>
        <w:tc>
          <w:tcPr>
            <w:tcW w:w="1220" w:type="dxa"/>
            <w:vAlign w:val="bottom"/>
            <w:tcBorders>
              <w:bottom w:val="single" w:sz="8" w:color="BECD32"/>
            </w:tcBorders>
            <w:gridSpan w:val="2"/>
          </w:tcPr>
          <w:p>
            <w:pPr>
              <w:spacing w:after="0"/>
              <w:rPr>
                <w:sz w:val="12"/>
                <w:szCs w:val="12"/>
                <w:color w:val="auto"/>
              </w:rPr>
            </w:pPr>
          </w:p>
        </w:tc>
        <w:tc>
          <w:tcPr>
            <w:tcW w:w="120" w:type="dxa"/>
            <w:vAlign w:val="bottom"/>
            <w:tcBorders>
              <w:bottom w:val="single" w:sz="8" w:color="BECD32"/>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2024</w:t>
            </w: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8"/>
                <w:szCs w:val="18"/>
                <w:color w:val="auto"/>
              </w:rPr>
            </w:pPr>
          </w:p>
        </w:tc>
        <w:tc>
          <w:tcPr>
            <w:tcW w:w="126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540" w:type="dxa"/>
            <w:vAlign w:val="bottom"/>
            <w:gridSpan w:val="2"/>
          </w:tcPr>
          <w:p>
            <w:pPr>
              <w:spacing w:after="0"/>
              <w:rPr>
                <w:sz w:val="18"/>
                <w:szCs w:val="18"/>
                <w:color w:val="auto"/>
              </w:rPr>
            </w:pPr>
          </w:p>
        </w:tc>
        <w:tc>
          <w:tcPr>
            <w:tcW w:w="780" w:type="dxa"/>
            <w:vAlign w:val="bottom"/>
            <w:tcBorders>
              <w:right w:val="single" w:sz="8" w:color="BECD32"/>
            </w:tcBorders>
            <w:gridSpan w:val="2"/>
          </w:tcPr>
          <w:p>
            <w:pPr>
              <w:ind w:left="4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100" w:type="dxa"/>
            <w:vAlign w:val="bottom"/>
          </w:tcPr>
          <w:p>
            <w:pPr>
              <w:spacing w:after="0"/>
              <w:rPr>
                <w:sz w:val="18"/>
                <w:szCs w:val="18"/>
                <w:color w:val="auto"/>
              </w:rPr>
            </w:pPr>
          </w:p>
        </w:tc>
        <w:tc>
          <w:tcPr>
            <w:tcW w:w="124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54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Operating activities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7FACB1"/>
            </w:tcBorders>
          </w:tcPr>
          <w:p>
            <w:pPr>
              <w:spacing w:after="0"/>
              <w:rPr>
                <w:sz w:val="15"/>
                <w:szCs w:val="15"/>
                <w:color w:val="auto"/>
              </w:rPr>
            </w:pPr>
          </w:p>
        </w:tc>
        <w:tc>
          <w:tcPr>
            <w:tcW w:w="68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profit /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(28.7)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198.1</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(831.1)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(924.8)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53.4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(39.4)</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(54.1)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Profit / (Loss) before tax</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24.7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158.7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(823.4)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(978.9)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Adjustments to reconcile loss before tax to net cash flows:</w:t>
            </w:r>
          </w:p>
        </w:tc>
        <w:tc>
          <w:tcPr>
            <w:tcW w:w="8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7FACB1"/>
            </w:tcBorders>
          </w:tcPr>
          <w:p>
            <w:pPr>
              <w:spacing w:after="0"/>
              <w:rPr>
                <w:sz w:val="15"/>
                <w:szCs w:val="15"/>
                <w:color w:val="auto"/>
              </w:rPr>
            </w:pPr>
          </w:p>
        </w:tc>
        <w:tc>
          <w:tcPr>
            <w:tcW w:w="68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Depreciation, amortization and impairment of property, plant, equipment, intangible assets and right-of-use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124.2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44.4</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218.0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assets</w:t>
            </w:r>
          </w:p>
        </w:tc>
        <w:tc>
          <w:tcPr>
            <w:tcW w:w="1200" w:type="dxa"/>
            <w:vAlign w:val="bottom"/>
            <w:gridSpan w:val="2"/>
            <w:vMerge w:val="continue"/>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Share-based payment expenses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40.9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82.1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77.4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Net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(24.1)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(35.5)</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36.4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(77.4)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(Gain) / Loss on disposal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income excluding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(96.8)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(156.2)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(324.8)</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(498.8)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expense excluding foreign exchange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17.1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Government grants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(43.5)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(26.8)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non-cash (income) / loss</w:t>
            </w:r>
          </w:p>
        </w:tc>
        <w:tc>
          <w:tcPr>
            <w:tcW w:w="80" w:type="dxa"/>
            <w:vAlign w:val="bottom"/>
          </w:tcPr>
          <w:p>
            <w:pPr>
              <w:spacing w:after="0"/>
              <w:rPr>
                <w:sz w:val="15"/>
                <w:szCs w:val="15"/>
                <w:color w:val="auto"/>
              </w:rPr>
            </w:pPr>
          </w:p>
        </w:tc>
        <w:tc>
          <w:tcPr>
            <w:tcW w:w="126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540" w:type="dxa"/>
            <w:vAlign w:val="bottom"/>
            <w:gridSpan w:val="2"/>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Unrealized (gain) / loss on derivative instruments at fair value through profit or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(6.0)</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86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Working capital adjustments: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7FACB1"/>
            </w:tcBorders>
          </w:tcPr>
          <w:p>
            <w:pPr>
              <w:spacing w:after="0"/>
              <w:rPr>
                <w:sz w:val="15"/>
                <w:szCs w:val="15"/>
                <w:color w:val="auto"/>
              </w:rPr>
            </w:pPr>
          </w:p>
        </w:tc>
        <w:tc>
          <w:tcPr>
            <w:tcW w:w="68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 (Increase) in trade and other receivables, contract assets and other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881.7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(830.2)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1,002.7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1,267.6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in inventories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37.0</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61.7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54.6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 Increase in trade payables, other financial liabilities, other liabilities, contract liabilities,</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(242.8)</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117.9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(299.2)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590.7</w:t>
            </w: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refund liabilities and provisions</w:t>
            </w:r>
          </w:p>
        </w:tc>
        <w:tc>
          <w:tcPr>
            <w:tcW w:w="1200" w:type="dxa"/>
            <w:vAlign w:val="bottom"/>
            <w:gridSpan w:val="2"/>
            <w:vMerge w:val="continue"/>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00" w:type="dxa"/>
            <w:vAlign w:val="bottom"/>
            <w:tcBorders>
              <w:right w:val="single" w:sz="8" w:color="BECD32"/>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right w:val="single" w:sz="8" w:color="BECD32"/>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received and realized gains from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83.5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73.1</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275.2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353.3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paid and realized losses from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 received / (paid), net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(9.6)</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(36.7)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(190.8)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(134.4)</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(19.3)</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(143.6)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Government grants received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60.7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38.0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102.7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operating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780.7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(638.9)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146.5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671.0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Investing activities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7FACB1"/>
            </w:tcBorders>
          </w:tcPr>
          <w:p>
            <w:pPr>
              <w:spacing w:after="0"/>
              <w:rPr>
                <w:sz w:val="15"/>
                <w:szCs w:val="15"/>
                <w:color w:val="auto"/>
              </w:rPr>
            </w:pPr>
          </w:p>
        </w:tc>
        <w:tc>
          <w:tcPr>
            <w:tcW w:w="68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(35.9)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(72.8)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(111.9)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(219.9)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sale of property, plant and equipment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intangible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(2.7)</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(575.0)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(141.3)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Acquisition of subsidiaries and businesses, net of cash acquired</w:t>
            </w:r>
          </w:p>
        </w:tc>
        <w:tc>
          <w:tcPr>
            <w:tcW w:w="80" w:type="dxa"/>
            <w:vAlign w:val="bottom"/>
          </w:tcPr>
          <w:p>
            <w:pPr>
              <w:spacing w:after="0"/>
              <w:rPr>
                <w:sz w:val="15"/>
                <w:szCs w:val="15"/>
                <w:color w:val="auto"/>
              </w:rPr>
            </w:pPr>
          </w:p>
        </w:tc>
        <w:tc>
          <w:tcPr>
            <w:tcW w:w="126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005A64"/>
              </w:rPr>
              <w:t>—</w:t>
            </w:r>
          </w:p>
        </w:tc>
        <w:tc>
          <w:tcPr>
            <w:tcW w:w="540" w:type="dxa"/>
            <w:vAlign w:val="bottom"/>
            <w:gridSpan w:val="2"/>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(78.5)</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Investment in other financial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(2,869.0)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(2,958.2)</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(7,046.7)</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(10,301.5)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maturity of other financial assets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1,979.4</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2,898.8</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8,065.3</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7,974.3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investing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(925.3)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(142.1)</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257.1</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(2,687.9)</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Financing activities</w:t>
            </w:r>
          </w:p>
        </w:tc>
        <w:tc>
          <w:tcPr>
            <w:tcW w:w="8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bottom w:val="single" w:sz="8" w:color="7FACB1"/>
            </w:tcBorders>
          </w:tcPr>
          <w:p>
            <w:pPr>
              <w:spacing w:after="0"/>
              <w:rPr>
                <w:sz w:val="15"/>
                <w:szCs w:val="15"/>
                <w:color w:val="auto"/>
              </w:rPr>
            </w:pPr>
          </w:p>
        </w:tc>
        <w:tc>
          <w:tcPr>
            <w:tcW w:w="660" w:type="dxa"/>
            <w:vAlign w:val="bottom"/>
            <w:tcBorders>
              <w:bottom w:val="single" w:sz="8" w:color="7FACB1"/>
            </w:tcBorders>
          </w:tcPr>
          <w:p>
            <w:pPr>
              <w:spacing w:after="0"/>
              <w:rPr>
                <w:sz w:val="15"/>
                <w:szCs w:val="15"/>
                <w:color w:val="auto"/>
              </w:rPr>
            </w:pPr>
          </w:p>
        </w:tc>
        <w:tc>
          <w:tcPr>
            <w:tcW w:w="120" w:type="dxa"/>
            <w:vAlign w:val="bottom"/>
            <w:tcBorders>
              <w:bottom w:val="single" w:sz="8" w:color="7FACB1"/>
              <w:right w:val="single" w:sz="8" w:color="BECD32"/>
            </w:tcBorders>
          </w:tcPr>
          <w:p>
            <w:pPr>
              <w:spacing w:after="0"/>
              <w:rPr>
                <w:sz w:val="15"/>
                <w:szCs w:val="15"/>
                <w:color w:val="auto"/>
              </w:rPr>
            </w:pPr>
          </w:p>
        </w:tc>
        <w:tc>
          <w:tcPr>
            <w:tcW w:w="100" w:type="dxa"/>
            <w:vAlign w:val="bottom"/>
            <w:tcBorders>
              <w:bottom w:val="single" w:sz="8" w:color="7FACB1"/>
            </w:tcBorders>
          </w:tcPr>
          <w:p>
            <w:pPr>
              <w:spacing w:after="0"/>
              <w:rPr>
                <w:sz w:val="15"/>
                <w:szCs w:val="15"/>
                <w:color w:val="auto"/>
              </w:rPr>
            </w:pPr>
          </w:p>
        </w:tc>
        <w:tc>
          <w:tcPr>
            <w:tcW w:w="112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7FACB1"/>
            </w:tcBorders>
          </w:tcPr>
          <w:p>
            <w:pPr>
              <w:spacing w:after="0"/>
              <w:rPr>
                <w:sz w:val="15"/>
                <w:szCs w:val="15"/>
                <w:color w:val="auto"/>
              </w:rPr>
            </w:pPr>
          </w:p>
        </w:tc>
        <w:tc>
          <w:tcPr>
            <w:tcW w:w="68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Repayment of loans and borrowings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005A64"/>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Payments related to lease liabilities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(10.3)</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(29.2)</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(36.3)</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used in financing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(11.5)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(38.6)</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(38.6)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increase / (decrease) in cash and cash equivalents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(156.1)</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(788.9)</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365.0</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(2,055.5)</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exchange rate differences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(21.5)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(2.3)</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(28.4)</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other valuation effects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39.1</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(5.6)</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15.2</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Cash and cash equivalents at the beginning of the period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10,269.5</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10,376.7</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9,761.9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11,663.7</w:t>
            </w:r>
          </w:p>
        </w:tc>
        <w:tc>
          <w:tcPr>
            <w:tcW w:w="0" w:type="dxa"/>
            <w:vAlign w:val="bottom"/>
          </w:tcPr>
          <w:p>
            <w:pPr>
              <w:spacing w:after="0"/>
              <w:rPr>
                <w:sz w:val="1"/>
                <w:szCs w:val="1"/>
                <w:color w:val="auto"/>
              </w:rPr>
            </w:pPr>
          </w:p>
        </w:tc>
      </w:tr>
      <w:tr>
        <w:trPr>
          <w:trHeight w:val="34"/>
        </w:trPr>
        <w:tc>
          <w:tcPr>
            <w:tcW w:w="586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7FACB1"/>
            </w:tcBorders>
          </w:tcPr>
          <w:p>
            <w:pPr>
              <w:spacing w:after="0"/>
              <w:rPr>
                <w:sz w:val="2"/>
                <w:szCs w:val="2"/>
                <w:color w:val="auto"/>
              </w:rPr>
            </w:pPr>
          </w:p>
        </w:tc>
        <w:tc>
          <w:tcPr>
            <w:tcW w:w="66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7FACB1"/>
            </w:tcBorders>
          </w:tcPr>
          <w:p>
            <w:pPr>
              <w:spacing w:after="0"/>
              <w:rPr>
                <w:sz w:val="2"/>
                <w:szCs w:val="2"/>
                <w:color w:val="auto"/>
              </w:rPr>
            </w:pPr>
          </w:p>
        </w:tc>
        <w:tc>
          <w:tcPr>
            <w:tcW w:w="68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00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Cash and cash equivalents as of September 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10,092.9</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9,624.6</w:t>
            </w:r>
          </w:p>
        </w:tc>
        <w:tc>
          <w:tcPr>
            <w:tcW w:w="120" w:type="dxa"/>
            <w:vAlign w:val="bottom"/>
            <w:tcBorders>
              <w:right w:val="single" w:sz="8" w:color="BECD32"/>
            </w:tcBorders>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10,092.9</w:t>
            </w:r>
          </w:p>
        </w:tc>
        <w:tc>
          <w:tcPr>
            <w:tcW w:w="120" w:type="dxa"/>
            <w:vAlign w:val="bottom"/>
            <w:tcBorders>
              <w:right w:val="single" w:sz="8" w:color="BECD32"/>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9,624.6</w:t>
            </w:r>
          </w:p>
        </w:tc>
        <w:tc>
          <w:tcPr>
            <w:tcW w:w="0" w:type="dxa"/>
            <w:vAlign w:val="bottom"/>
          </w:tcPr>
          <w:p>
            <w:pPr>
              <w:spacing w:after="0"/>
              <w:rPr>
                <w:sz w:val="1"/>
                <w:szCs w:val="1"/>
                <w:color w:val="auto"/>
              </w:rPr>
            </w:pPr>
          </w:p>
        </w:tc>
      </w:tr>
      <w:tr>
        <w:trPr>
          <w:trHeight w:val="34"/>
        </w:trPr>
        <w:tc>
          <w:tcPr>
            <w:tcW w:w="586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120" w:type="dxa"/>
            <w:vAlign w:val="bottom"/>
            <w:tcBorders>
              <w:bottom w:val="single" w:sz="8" w:color="BECD32"/>
            </w:tcBorders>
          </w:tcPr>
          <w:p>
            <w:pPr>
              <w:spacing w:after="0"/>
              <w:rPr>
                <w:sz w:val="2"/>
                <w:szCs w:val="2"/>
                <w:color w:val="auto"/>
              </w:rPr>
            </w:pPr>
          </w:p>
        </w:tc>
        <w:tc>
          <w:tcPr>
            <w:tcW w:w="14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5A64"/>
            </w:tcBorders>
          </w:tcPr>
          <w:p>
            <w:pPr>
              <w:spacing w:after="0"/>
              <w:rPr>
                <w:sz w:val="2"/>
                <w:szCs w:val="2"/>
                <w:color w:val="auto"/>
              </w:rPr>
            </w:pPr>
          </w:p>
        </w:tc>
        <w:tc>
          <w:tcPr>
            <w:tcW w:w="66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100" w:type="dxa"/>
            <w:vAlign w:val="bottom"/>
            <w:tcBorders>
              <w:bottom w:val="single" w:sz="8" w:color="BECD32"/>
            </w:tcBorders>
          </w:tcPr>
          <w:p>
            <w:pPr>
              <w:spacing w:after="0"/>
              <w:rPr>
                <w:sz w:val="2"/>
                <w:szCs w:val="2"/>
                <w:color w:val="auto"/>
              </w:rPr>
            </w:pPr>
          </w:p>
        </w:tc>
        <w:tc>
          <w:tcPr>
            <w:tcW w:w="1120" w:type="dxa"/>
            <w:vAlign w:val="bottom"/>
            <w:tcBorders>
              <w:bottom w:val="single" w:sz="8" w:color="BECD32"/>
            </w:tcBorders>
          </w:tcPr>
          <w:p>
            <w:pPr>
              <w:spacing w:after="0"/>
              <w:rPr>
                <w:sz w:val="2"/>
                <w:szCs w:val="2"/>
                <w:color w:val="auto"/>
              </w:rPr>
            </w:pPr>
          </w:p>
        </w:tc>
        <w:tc>
          <w:tcPr>
            <w:tcW w:w="120" w:type="dxa"/>
            <w:vAlign w:val="bottom"/>
            <w:tcBorders>
              <w:bottom w:val="single" w:sz="8" w:color="BECD32"/>
              <w:right w:val="single" w:sz="8" w:color="BECD32"/>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19"/>
          <w:szCs w:val="19"/>
          <w:b w:val="1"/>
          <w:bCs w:val="1"/>
          <w:color w:val="C3C3C3"/>
        </w:rPr>
        <w:t>5</w:t>
      </w:r>
    </w:p>
    <w:p>
      <w:pPr>
        <w:sectPr>
          <w:pgSz w:w="11900" w:h="16838" w:orient="portrait"/>
          <w:cols w:equalWidth="0" w:num="1">
            <w:col w:w="11220"/>
          </w:cols>
          <w:pgMar w:left="320" w:top="167" w:right="359" w:bottom="1440" w:gutter="0" w:footer="0" w:header="0"/>
          <w:type w:val="continuous"/>
        </w:sectPr>
      </w:pPr>
    </w:p>
    <w:bookmarkStart w:id="13" w:name="page14"/>
    <w:bookmarkEnd w:id="1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60"/>
        <w:spacing w:after="0" w:line="287" w:lineRule="auto"/>
        <w:rPr>
          <w:sz w:val="20"/>
          <w:szCs w:val="20"/>
          <w:color w:val="auto"/>
        </w:rPr>
      </w:pPr>
      <w:r>
        <w:rPr>
          <w:rFonts w:ascii="Times New Roman" w:cs="Times New Roman" w:eastAsia="Times New Roman" w:hAnsi="Times New Roman"/>
          <w:sz w:val="36"/>
          <w:szCs w:val="36"/>
          <w:b w:val="1"/>
          <w:bCs w:val="1"/>
          <w:color w:val="107072"/>
        </w:rPr>
        <w:t>Selected Explanatory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 Corporate Information</w:t>
      </w:r>
    </w:p>
    <w:p>
      <w:pPr>
        <w:spacing w:after="0" w:line="19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and as endorsed by the European Union. References to the “Company”, “BioNTech”, “Group”, “we”, “us” and “our” refer to BioNTech SE and its consolidated subsidiaries.</w:t>
      </w:r>
    </w:p>
    <w:p>
      <w:pPr>
        <w:spacing w:after="0" w:line="240"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aims to position us as pioneers in the field of individualized, patient-centric therapeutic approaches in oncology and infectious diseases.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approach has generated a robust and diversified product candidate pipeline across a range of technologies in oncology and infectious disease, and has led to the approval of our first marketed product, Comirnaty.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w:t>
            </w:r>
          </w:p>
        </w:tc>
      </w:tr>
    </w:tbl>
    <w:p>
      <w:pPr>
        <w:sectPr>
          <w:pgSz w:w="11900" w:h="16838" w:orient="portrait"/>
          <w:cols w:equalWidth="0" w:num="1">
            <w:col w:w="11240"/>
          </w:cols>
          <w:pgMar w:left="320" w:top="167" w:right="339" w:bottom="1440" w:gutter="0" w:footer="0" w:header="0"/>
        </w:sectPr>
      </w:pPr>
    </w:p>
    <w:bookmarkStart w:id="14" w:name="page15"/>
    <w:bookmarkEnd w:id="1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as of and for the three and nine months ended September 30, 2025 were authorized for issuance in accordance with a resolution of the Audit Committee of our Supervisory Board on November 2,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2. Basis of Preparation,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Basis of Preparation and Principles of Consolidation</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accompanying unaudited interim condensed consolidated financial statements as of and for the three and nine months ended September 30, 2025 have been prepared in accordance with IAS 34 Interim Financial Reporting.</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2024.</w:t>
      </w:r>
    </w:p>
    <w:p>
      <w:pPr>
        <w:spacing w:after="0" w:line="23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prepare and present our unaudited interim condensed consolidated financial statements in Euros and round numbers to millions of Euros. Accordingly, numerical figures rounded in the table context may be adjusted to match totals in some tables while some totals may not be the exact arithmetic aggregations of the figures.</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as of and for the three and nine months ended September 30, 2025, include BioNTech SE and its subsidiaries. All intercompany transactions and balances have been eliminated in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Significant Accounting Judgments, Estimates and Assumptions and Accounting Policies</w:t>
      </w:r>
    </w:p>
    <w:p>
      <w:pPr>
        <w:spacing w:after="0" w:line="17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includes, but is not limited to, our judgment relating to our collaboration with Pfizer, Inc., or Pfizer, as described under the subheading “Pfizer Agreement Characteristics” in Note 3 to our audited consolidated financial statements as of and for the year ended December 31, 2024. In order to determine our share of the collaboration partner’s gross profits, we used certain information from the collaboration partner, including revenues from the sale of products and certain other sharable expense items, some of which is based on preliminary data shared between the partners.</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w:t>
            </w:r>
          </w:p>
        </w:tc>
      </w:tr>
    </w:tbl>
    <w:p>
      <w:pPr>
        <w:sectPr>
          <w:pgSz w:w="11900" w:h="16838" w:orient="portrait"/>
          <w:cols w:equalWidth="0" w:num="1">
            <w:col w:w="11240"/>
          </w:cols>
          <w:pgMar w:left="320" w:top="167" w:right="339" w:bottom="1440" w:gutter="0" w:footer="0" w:header="0"/>
        </w:sectPr>
      </w:pPr>
    </w:p>
    <w:bookmarkStart w:id="15" w:name="page16"/>
    <w:bookmarkEnd w:id="1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Judgment is also required including, but not limited to, when accounting for business combinations. This includes determining whether an intangible asset is identifiable and whether it should be recorded separately from goodwill. Additionally, estimating the acquisition date fair values in conjunction with the purchase price allocation and with the settlement of pre-existing relationships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our profit or loss statements.</w:t>
      </w:r>
    </w:p>
    <w:p>
      <w:pPr>
        <w:spacing w:after="0" w:line="200" w:lineRule="exact"/>
        <w:rPr>
          <w:sz w:val="20"/>
          <w:szCs w:val="20"/>
          <w:color w:val="auto"/>
        </w:rPr>
      </w:pPr>
    </w:p>
    <w:p>
      <w:pPr>
        <w:spacing w:after="0" w:line="30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This further includes, but is not limited to, judgments related to our new collaboration with Bristol-Myers Squibb Company, or BMS, as described in Note 3 below. Under the terms of the collaboration, we and BMS will jointly share development and manufacturing costs on a 50:50 basis. In determining the amount payable to or receivable from BMS, we rely on BMS for its costs incurred in the respective reporting period. Management used judgment to identify the license as a separate unit of account from the development activities defined in the contract, and applied IFRS 15 to the upfront, anniversary and milestone payments in respect of the license component. Determining whether the performance obligation in relation to the license granted to BMS is satisfied over time or at a point in time, included judgment to assess that the nature of our promise to grant the license is a right-to-use our intellectual property. We have determined that the contract does not contain a substantive termination penalty and therefore contains material rights based on the option to cancel the contract during the development period under the contract, which management determined to be 5 years. The development period is an estimate made by management that is required to be re-evaluated each reporting period (see Note 3).</w:t>
      </w:r>
    </w:p>
    <w:p>
      <w:pPr>
        <w:spacing w:after="0" w:line="200" w:lineRule="exact"/>
        <w:rPr>
          <w:sz w:val="20"/>
          <w:szCs w:val="20"/>
          <w:color w:val="auto"/>
        </w:rPr>
      </w:pPr>
    </w:p>
    <w:p>
      <w:pPr>
        <w:spacing w:after="0" w:line="30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accordance with IFRS 11 (Joint Arrangements), we classify our joint arrangements (i.e. arrangements in which we exercise joint control with one or more other parties) either as a joint operation or as joint venture. We exercise joint control over a joint arrangement when decisions relating to the relevant activities of the arrangement require the unanimous consent of us and the other parties with whom control is shared. We have assessed that we exercise joint control with BMS in relation to the development activities in the co-development and co-commercialization agreement and classified those activities as a joint operation.</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accounting policies adopted in the preparation of the unaudited interim condensed consolidated financial statements are consistent with those followed in the preparation of our audited consolidated financial statements as of and for the year ended December 31, 2024, except for income taxes, which are accounted for using the expected annual tax rate in our unaudited interim condensed consolidated financial statements (see Note 6). In addition, the assets, liabilities, revenues and expenses in relation to the joint arrangement with BMS, which is not structured through a separate vehicle, are accounted for in accordance with the IFRS Accounting standards applicable to the particular assets, liabilities, revenues and expenses. We account for our share of the development activities in accordance with IFRS 11 and we account for the license component under IFRS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w:t>
            </w:r>
          </w:p>
        </w:tc>
      </w:tr>
    </w:tbl>
    <w:p>
      <w:pPr>
        <w:sectPr>
          <w:pgSz w:w="11900" w:h="16838" w:orient="portrait"/>
          <w:cols w:equalWidth="0" w:num="1">
            <w:col w:w="11240"/>
          </w:cols>
          <w:pgMar w:left="320" w:top="167" w:right="339" w:bottom="1440" w:gutter="0" w:footer="0" w:header="0"/>
        </w:sectPr>
      </w:pPr>
    </w:p>
    <w:bookmarkStart w:id="16" w:name="page17"/>
    <w:bookmarkEnd w:id="1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Reimbursements for research and development are offset against research and development expenses.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Standards Applied for the First Time</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IFRS Accounting Standards that were applied for the first time as of January 1, 2025, as disclosed in the notes to the audited consolidated financial statements as of and for the year ended December 31, 2024, had no impact on our unaudited interim condensed consolidated financial statements as of and for the three and nine months ended September 30,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3. Revenues from Contracts with Customers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Disaggregated Information on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Set forth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005A64"/>
              </w:rPr>
              <w:t>Nine months ended September 30,</w:t>
            </w: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40" w:type="dxa"/>
            <w:vAlign w:val="bottom"/>
            <w:gridSpan w:val="4"/>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520" w:type="dxa"/>
            <w:vAlign w:val="bottom"/>
            <w:tcBorders>
              <w:bottom w:val="single" w:sz="8" w:color="BECD32"/>
            </w:tcBorders>
            <w:gridSpan w:val="2"/>
          </w:tcPr>
          <w:p>
            <w:pPr>
              <w:spacing w:after="0"/>
              <w:rPr>
                <w:sz w:val="14"/>
                <w:szCs w:val="14"/>
                <w:color w:val="auto"/>
              </w:rPr>
            </w:pPr>
          </w:p>
        </w:tc>
        <w:tc>
          <w:tcPr>
            <w:tcW w:w="120" w:type="dxa"/>
            <w:vAlign w:val="bottom"/>
            <w:tcBorders>
              <w:bottom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4"/>
                <w:szCs w:val="14"/>
                <w:color w:val="auto"/>
              </w:rPr>
            </w:pPr>
          </w:p>
        </w:tc>
        <w:tc>
          <w:tcPr>
            <w:tcW w:w="1500" w:type="dxa"/>
            <w:vAlign w:val="bottom"/>
            <w:tcBorders>
              <w:bottom w:val="single" w:sz="8" w:color="BECD32"/>
            </w:tcBorders>
            <w:gridSpan w:val="2"/>
          </w:tcPr>
          <w:p>
            <w:pPr>
              <w:spacing w:after="0"/>
              <w:rPr>
                <w:sz w:val="14"/>
                <w:szCs w:val="14"/>
                <w:color w:val="auto"/>
              </w:rPr>
            </w:pPr>
          </w:p>
        </w:tc>
        <w:tc>
          <w:tcPr>
            <w:tcW w:w="120" w:type="dxa"/>
            <w:vAlign w:val="bottom"/>
            <w:tcBorders>
              <w:bottom w:val="single" w:sz="8" w:color="BECD32"/>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4820" w:type="dxa"/>
            <w:vAlign w:val="bottom"/>
            <w:gridSpan w:val="2"/>
            <w:vMerge w:val="continue"/>
          </w:tcPr>
          <w:p>
            <w:pPr>
              <w:spacing w:after="0"/>
              <w:rPr>
                <w:sz w:val="17"/>
                <w:szCs w:val="17"/>
                <w:color w:val="auto"/>
              </w:rPr>
            </w:pPr>
          </w:p>
        </w:tc>
        <w:tc>
          <w:tcPr>
            <w:tcW w:w="15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62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5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853.3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1,113.9</w:t>
            </w:r>
          </w:p>
        </w:tc>
        <w:tc>
          <w:tcPr>
            <w:tcW w:w="120" w:type="dxa"/>
            <w:vAlign w:val="bottom"/>
            <w:tcBorders>
              <w:right w:val="single" w:sz="8" w:color="BECD32"/>
            </w:tcBorders>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1,139.6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1,310.0</w:t>
            </w:r>
          </w:p>
        </w:tc>
        <w:tc>
          <w:tcPr>
            <w:tcW w:w="0" w:type="dxa"/>
            <w:vAlign w:val="bottom"/>
          </w:tcPr>
          <w:p>
            <w:pPr>
              <w:spacing w:after="0"/>
              <w:rPr>
                <w:sz w:val="1"/>
                <w:szCs w:val="1"/>
                <w:color w:val="auto"/>
              </w:rPr>
            </w:pPr>
          </w:p>
        </w:tc>
      </w:tr>
      <w:tr>
        <w:trPr>
          <w:trHeight w:val="50"/>
        </w:trPr>
        <w:tc>
          <w:tcPr>
            <w:tcW w:w="462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 from out-licensing</w:t>
            </w:r>
          </w:p>
        </w:tc>
        <w:tc>
          <w:tcPr>
            <w:tcW w:w="15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Borders>
              <w:right w:val="single" w:sz="8" w:color="BECD32"/>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462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5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52.6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130.9</w:t>
            </w:r>
          </w:p>
        </w:tc>
        <w:tc>
          <w:tcPr>
            <w:tcW w:w="120" w:type="dxa"/>
            <w:vAlign w:val="bottom"/>
            <w:tcBorders>
              <w:right w:val="single" w:sz="8" w:color="BECD32"/>
            </w:tcBorders>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209.9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251.1</w:t>
            </w:r>
          </w:p>
        </w:tc>
        <w:tc>
          <w:tcPr>
            <w:tcW w:w="0" w:type="dxa"/>
            <w:vAlign w:val="bottom"/>
          </w:tcPr>
          <w:p>
            <w:pPr>
              <w:spacing w:after="0"/>
              <w:rPr>
                <w:sz w:val="1"/>
                <w:szCs w:val="1"/>
                <w:color w:val="auto"/>
              </w:rPr>
            </w:pPr>
          </w:p>
        </w:tc>
      </w:tr>
      <w:tr>
        <w:trPr>
          <w:trHeight w:val="50"/>
        </w:trPr>
        <w:tc>
          <w:tcPr>
            <w:tcW w:w="462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52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1,518.9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1,244.8</w:t>
            </w:r>
          </w:p>
        </w:tc>
        <w:tc>
          <w:tcPr>
            <w:tcW w:w="120" w:type="dxa"/>
            <w:vAlign w:val="bottom"/>
            <w:tcBorders>
              <w:right w:val="single" w:sz="8" w:color="BECD32"/>
            </w:tcBorders>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1,962.5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1,561.1</w:t>
            </w:r>
          </w:p>
        </w:tc>
        <w:tc>
          <w:tcPr>
            <w:tcW w:w="0" w:type="dxa"/>
            <w:vAlign w:val="bottom"/>
          </w:tcPr>
          <w:p>
            <w:pPr>
              <w:spacing w:after="0"/>
              <w:rPr>
                <w:sz w:val="1"/>
                <w:szCs w:val="1"/>
                <w:color w:val="auto"/>
              </w:rPr>
            </w:pPr>
          </w:p>
        </w:tc>
      </w:tr>
      <w:tr>
        <w:trPr>
          <w:trHeight w:val="50"/>
        </w:trPr>
        <w:tc>
          <w:tcPr>
            <w:tcW w:w="462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left w:val="single" w:sz="8" w:color="BECD32"/>
              <w:bottom w:val="single" w:sz="8" w:color="BECD32"/>
            </w:tcBorders>
          </w:tcPr>
          <w:p>
            <w:pPr>
              <w:spacing w:after="0"/>
              <w:rPr>
                <w:sz w:val="4"/>
                <w:szCs w:val="4"/>
                <w:color w:val="auto"/>
              </w:rPr>
            </w:pPr>
          </w:p>
        </w:tc>
        <w:tc>
          <w:tcPr>
            <w:tcW w:w="140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40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COVID-19 Vaccine Revenues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COVID-19 vaccine revenues were recognized from the supply and sales of our COVID-19 vaccine worldwide during the three and nine months ended September 30, 2025 and 2024, mainly comprising our share of the collaboration partner’s gross profit derived from sales in the collaboration partner’s territory. Overall, our COVID-19 vaccine revenues amounted to €853.3 million and €1,139.6 million during the three and nine months ended September 30, 2025, respectively. During the three and nine months ended September 30, 2024, COVID-19 vaccine revenues amounted to €1,113.9 million and €1,310.0 million, respectively. While our year-to-date revenues were similar to those of the comparative prior year period, our revenues for the three months ended September 30, 2025 were lower compared to the comparative prior year period, largely driven by a lower volume of doses sold. Our COVID-19 vaccine revenues are subject to seasonal effects in the fall and winter of the northern hemisphere.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Revenues from Out-Licensing</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On June 2, 2025, we and Bristol-Myers Squibb Company, or BMS, announced a global strategic partnership to co-develop and co-commercialize our next-generation bispecific antibody candidate, pumitamig (BNT327/BMS986545), broadly for multiple solid tumor types. Under the terms of the agreement, we granted BMS a worldwide, co-exclusive license to use the licensed intellectual property, or IP,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19"/>
          <w:szCs w:val="19"/>
          <w:b w:val="1"/>
          <w:bCs w:val="1"/>
          <w:color w:val="C3C3C3"/>
        </w:rPr>
        <w:t>9</w:t>
      </w:r>
    </w:p>
    <w:p>
      <w:pPr>
        <w:sectPr>
          <w:pgSz w:w="11900" w:h="16838" w:orient="portrait"/>
          <w:cols w:equalWidth="0" w:num="1">
            <w:col w:w="11240"/>
          </w:cols>
          <w:pgMar w:left="320" w:top="167" w:right="339" w:bottom="1440" w:gutter="0" w:footer="0" w:header="0"/>
          <w:type w:val="continuous"/>
        </w:sectPr>
      </w:pPr>
    </w:p>
    <w:bookmarkStart w:id="17" w:name="page18"/>
    <w:bookmarkEnd w:id="1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anniversary payments through 2028 as well as up to $7.6 billion in additional development, regulatory and commercial milestone payments contingent on achievement of certain development, regulatory and commercial milestones.</w:t>
      </w:r>
    </w:p>
    <w:p>
      <w:pPr>
        <w:spacing w:after="0" w:line="2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On August 15, 2025, we and BMS entered into an amended and restated agreement that replaced the original agreement. The new agreement governs the collaboration, including in particular the performance-related rights and obligations, without affecting the financial terms agreed in the original agreement. The license granted in respect of our IP was determined to be a separate unit of account from the other promised good and services, which we refer to as development activities, and accounted for under IFRS 15 as the granting of a license to our IP is an output of our ordinary activities. Based on the terms of the contract, we have identified material rights relating to options to cancel the contract. In allocating revenue to the material rights throughout the development period, management determined an expected consideration of $3.5 billion, consisting of the upfront payment and the anniversary payments. The expected consideration is attributed to each option to cancel the contract using the practical alternative under IFRS 15.B43. Each material right is recognized as revenue at the point in time BMS makes use of its option or when such right expires. The upfront payment was recorded as contract liability (€1,313.6 million, converted as of the contract date of the initial agreement, June 2, 2025). We determined that the criteria in IFRS 15.9 were subsequently met with the conclusion of the amended and restated agreement as of August 15, 2025. During the three months ended September 30, 2025, revenue in the amount of €613.0 million was recognized on a cumulative catch-up basis as of June 2, 2025, the date the initial agreement was effective, and €700.6 million have been deferred and will be recognized upon BMS makes use of its option or when such right expires. All milestone payments are considered to be constrained, as the achievement of the milestone events depends on the success of the underlying research and development activities, which is outside our control. Sales-based milestone payments will be recognized when the underlying sale transactions have occurred.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Revenues</w:t>
      </w:r>
    </w:p>
    <w:p>
      <w:pPr>
        <w:spacing w:after="0" w:line="16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remaining other revenues were mainly derived from a pandemic preparedness contract with the German government, during the three and nine months ended September 30, 2025 and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257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57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575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2575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89" w:lineRule="exact"/>
        <w:rPr>
          <w:sz w:val="20"/>
          <w:szCs w:val="20"/>
          <w:color w:val="auto"/>
        </w:rPr>
      </w:pPr>
    </w:p>
    <w:p>
      <w:pPr>
        <w:ind w:left="280" w:right="160"/>
        <w:spacing w:after="0" w:line="330" w:lineRule="auto"/>
        <w:rPr>
          <w:sz w:val="20"/>
          <w:szCs w:val="20"/>
          <w:color w:val="auto"/>
        </w:rPr>
      </w:pPr>
      <w:r>
        <w:rPr>
          <w:rFonts w:ascii="Times New Roman" w:cs="Times New Roman" w:eastAsia="Times New Roman" w:hAnsi="Times New Roman"/>
          <w:sz w:val="14"/>
          <w:szCs w:val="14"/>
          <w:color w:val="005A64"/>
        </w:rPr>
        <w:t xml:space="preserve">Revenue recognition applying the sales-based or usage-based royalty recognition constraint model </w:t>
      </w:r>
      <w:r>
        <w:rPr>
          <w:rFonts w:ascii="Times New Roman" w:cs="Times New Roman" w:eastAsia="Times New Roman" w:hAnsi="Times New Roman"/>
          <w:sz w:val="18"/>
          <w:szCs w:val="18"/>
          <w:color w:val="005A64"/>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57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257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6"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Represents sales based on the share of the collaboration partners’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1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005A64"/>
              </w:rPr>
              <w:t>Nine months ended September 30,</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2160" w:type="dxa"/>
            <w:vAlign w:val="bottom"/>
            <w:gridSpan w:val="4"/>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380" w:type="dxa"/>
            <w:vAlign w:val="bottom"/>
            <w:tcBorders>
              <w:left w:val="single" w:sz="8" w:color="BECD32"/>
            </w:tcBorders>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380" w:type="dxa"/>
            <w:vAlign w:val="bottom"/>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 w:type="dxa"/>
            <w:vAlign w:val="bottom"/>
            <w:tcBorders>
              <w:left w:val="single" w:sz="8" w:color="BECD32"/>
            </w:tcBorders>
          </w:tcPr>
          <w:p>
            <w:pPr>
              <w:spacing w:after="0"/>
              <w:rPr>
                <w:sz w:val="21"/>
                <w:szCs w:val="21"/>
                <w:color w:val="auto"/>
              </w:rPr>
            </w:pPr>
          </w:p>
        </w:tc>
        <w:tc>
          <w:tcPr>
            <w:tcW w:w="1280" w:type="dxa"/>
            <w:vAlign w:val="bottom"/>
            <w:tcBorders>
              <w:top w:val="single" w:sz="8" w:color="005A64"/>
              <w:bottom w:val="single" w:sz="8" w:color="7FACB1"/>
            </w:tcBorders>
          </w:tcPr>
          <w:p>
            <w:pPr>
              <w:spacing w:after="0"/>
              <w:rPr>
                <w:sz w:val="21"/>
                <w:szCs w:val="21"/>
                <w:color w:val="auto"/>
              </w:rPr>
            </w:pP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005A64"/>
              <w:bottom w:val="single" w:sz="8" w:color="7FACB1"/>
            </w:tcBorders>
          </w:tcPr>
          <w:p>
            <w:pPr>
              <w:spacing w:after="0"/>
              <w:rPr>
                <w:sz w:val="21"/>
                <w:szCs w:val="21"/>
                <w:color w:val="auto"/>
              </w:rPr>
            </w:pPr>
          </w:p>
        </w:tc>
        <w:tc>
          <w:tcPr>
            <w:tcW w:w="620" w:type="dxa"/>
            <w:vAlign w:val="bottom"/>
            <w:tcBorders>
              <w:top w:val="single" w:sz="8" w:color="005A64"/>
              <w:bottom w:val="single" w:sz="8" w:color="7FACB1"/>
            </w:tcBorders>
          </w:tcPr>
          <w:p>
            <w:pPr>
              <w:spacing w:after="0"/>
              <w:rPr>
                <w:sz w:val="21"/>
                <w:szCs w:val="21"/>
                <w:color w:val="auto"/>
              </w:rPr>
            </w:pP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005A64"/>
              <w:bottom w:val="single" w:sz="8" w:color="7FACB1"/>
            </w:tcBorders>
          </w:tcPr>
          <w:p>
            <w:pPr>
              <w:spacing w:after="0"/>
              <w:rPr>
                <w:sz w:val="21"/>
                <w:szCs w:val="21"/>
                <w:color w:val="auto"/>
              </w:rPr>
            </w:pPr>
          </w:p>
        </w:tc>
        <w:tc>
          <w:tcPr>
            <w:tcW w:w="120" w:type="dxa"/>
            <w:vAlign w:val="bottom"/>
            <w:tcBorders>
              <w:right w:val="single" w:sz="8" w:color="BECD32"/>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005A64"/>
              <w:bottom w:val="single" w:sz="8" w:color="7FACB1"/>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793.3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247.0</w:t>
            </w:r>
          </w:p>
        </w:tc>
        <w:tc>
          <w:tcPr>
            <w:tcW w:w="120" w:type="dxa"/>
            <w:vAlign w:val="bottom"/>
            <w:tcBorders>
              <w:right w:val="single" w:sz="8" w:color="BECD32"/>
            </w:tcBorders>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930.3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301.6</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44.8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124.8</w:t>
            </w:r>
          </w:p>
        </w:tc>
        <w:tc>
          <w:tcPr>
            <w:tcW w:w="120" w:type="dxa"/>
            <w:vAlign w:val="bottom"/>
            <w:tcBorders>
              <w:right w:val="single" w:sz="8" w:color="BECD32"/>
            </w:tcBorders>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193.4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231.7</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680.8</w:t>
            </w:r>
          </w:p>
        </w:tc>
        <w:tc>
          <w:tcPr>
            <w:tcW w:w="12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873.0</w:t>
            </w:r>
          </w:p>
        </w:tc>
        <w:tc>
          <w:tcPr>
            <w:tcW w:w="120" w:type="dxa"/>
            <w:vAlign w:val="bottom"/>
            <w:tcBorders>
              <w:right w:val="single" w:sz="8" w:color="BECD32"/>
            </w:tcBorders>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838.8</w:t>
            </w:r>
          </w:p>
        </w:tc>
        <w:tc>
          <w:tcPr>
            <w:tcW w:w="12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1,027.8</w:t>
            </w:r>
          </w:p>
        </w:tc>
        <w:tc>
          <w:tcPr>
            <w:tcW w:w="0" w:type="dxa"/>
            <w:vAlign w:val="bottom"/>
          </w:tcPr>
          <w:p>
            <w:pPr>
              <w:spacing w:after="0"/>
              <w:rPr>
                <w:sz w:val="1"/>
                <w:szCs w:val="1"/>
                <w:color w:val="auto"/>
              </w:rPr>
            </w:pPr>
          </w:p>
        </w:tc>
      </w:tr>
      <w:tr>
        <w:trPr>
          <w:trHeight w:val="185"/>
        </w:trPr>
        <w:tc>
          <w:tcPr>
            <w:tcW w:w="100" w:type="dxa"/>
            <w:vAlign w:val="bottom"/>
            <w:tcBorders>
              <w:left w:val="single" w:sz="8" w:color="BECD32"/>
            </w:tcBorders>
          </w:tcPr>
          <w:p>
            <w:pPr>
              <w:spacing w:after="0"/>
              <w:rPr>
                <w:sz w:val="16"/>
                <w:szCs w:val="16"/>
                <w:color w:val="auto"/>
              </w:rPr>
            </w:pPr>
          </w:p>
        </w:tc>
        <w:tc>
          <w:tcPr>
            <w:tcW w:w="1280" w:type="dxa"/>
            <w:vAlign w:val="bottom"/>
            <w:tcBorders>
              <w:bottom w:val="single" w:sz="8" w:color="7FACB1"/>
            </w:tcBorders>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7FACB1"/>
            </w:tcBorders>
          </w:tcPr>
          <w:p>
            <w:pPr>
              <w:spacing w:after="0"/>
              <w:rPr>
                <w:sz w:val="16"/>
                <w:szCs w:val="16"/>
                <w:color w:val="auto"/>
              </w:rPr>
            </w:pPr>
          </w:p>
        </w:tc>
        <w:tc>
          <w:tcPr>
            <w:tcW w:w="620" w:type="dxa"/>
            <w:vAlign w:val="bottom"/>
            <w:tcBorders>
              <w:bottom w:val="single" w:sz="8" w:color="7FACB1"/>
            </w:tcBorders>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7FACB1"/>
            </w:tcBorders>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7FACB1"/>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1,518.9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1,244.8</w:t>
            </w:r>
          </w:p>
        </w:tc>
        <w:tc>
          <w:tcPr>
            <w:tcW w:w="120" w:type="dxa"/>
            <w:vAlign w:val="bottom"/>
            <w:tcBorders>
              <w:right w:val="single" w:sz="8" w:color="BECD32"/>
            </w:tcBorders>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1,962.5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1,561.1</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bottom w:val="single" w:sz="8" w:color="BECD32"/>
            </w:tcBorders>
          </w:tcPr>
          <w:p>
            <w:pPr>
              <w:spacing w:after="0"/>
              <w:rPr>
                <w:sz w:val="4"/>
                <w:szCs w:val="4"/>
                <w:color w:val="auto"/>
              </w:rPr>
            </w:pPr>
          </w:p>
        </w:tc>
        <w:tc>
          <w:tcPr>
            <w:tcW w:w="128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28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10" w:lineRule="exact"/>
        <w:rPr>
          <w:sz w:val="20"/>
          <w:szCs w:val="20"/>
          <w:color w:val="auto"/>
        </w:rPr>
      </w:pPr>
    </w:p>
    <w:p>
      <w:pPr>
        <w:sectPr>
          <w:pgSz w:w="11900" w:h="16838" w:orient="portrait"/>
          <w:cols w:equalWidth="0" w:num="2">
            <w:col w:w="4800" w:space="540"/>
            <w:col w:w="5900"/>
          </w:cols>
          <w:pgMar w:left="320" w:top="167"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w:t>
            </w:r>
          </w:p>
        </w:tc>
      </w:tr>
    </w:tbl>
    <w:p>
      <w:pPr>
        <w:sectPr>
          <w:pgSz w:w="11900" w:h="16838" w:orient="portrait"/>
          <w:cols w:equalWidth="0" w:num="1">
            <w:col w:w="11240"/>
          </w:cols>
          <w:pgMar w:left="320" w:top="167" w:right="339" w:bottom="1440" w:gutter="0" w:footer="0" w:header="0"/>
          <w:type w:val="continuous"/>
        </w:sectPr>
      </w:pPr>
    </w:p>
    <w:bookmarkStart w:id="18" w:name="page19"/>
    <w:bookmarkEnd w:id="1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4. Income and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4.1 General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same period in 2024, was primarily driven by lower expenses arising from inventory write-downs to net realizable value, the year-to-date increase is mainly attributable to multiple positive extraordinary effects, for example 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 €103.3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immuno-oncology, or IO, and antibody-drug conjugate, or ADC, programs, partly offset by cost savings resulting from active portfolio management. In addition, research and development expenses for the three months ended September 30, 2025 were impacted by a one-time impairment of BNT323/DB-1303 (see Note 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5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prior-year period.</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w:t>
            </w:r>
          </w:p>
        </w:tc>
      </w:tr>
    </w:tbl>
    <w:p>
      <w:pPr>
        <w:sectPr>
          <w:pgSz w:w="11900" w:h="16838" w:orient="portrait"/>
          <w:cols w:equalWidth="0" w:num="1">
            <w:col w:w="11240"/>
          </w:cols>
          <w:pgMar w:left="320" w:top="167" w:right="339" w:bottom="1440" w:gutter="0" w:footer="0" w:header="0"/>
        </w:sectPr>
      </w:pPr>
    </w:p>
    <w:bookmarkStart w:id="19" w:name="page20"/>
    <w:bookmarkEnd w:id="1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4.2 Other Operating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other operating result recognized during the three and nine months ended September 30,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46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32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5360" w:type="dxa"/>
            <w:vAlign w:val="bottom"/>
            <w:gridSpan w:val="2"/>
            <w:vMerge w:val="continue"/>
          </w:tcPr>
          <w:p>
            <w:pPr>
              <w:spacing w:after="0"/>
              <w:rPr>
                <w:sz w:val="17"/>
                <w:szCs w:val="17"/>
                <w:color w:val="auto"/>
              </w:rPr>
            </w:pP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1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Other operating result</w:t>
            </w:r>
          </w:p>
        </w:tc>
        <w:tc>
          <w:tcPr>
            <w:tcW w:w="220" w:type="dxa"/>
            <w:vAlign w:val="bottom"/>
            <w:tcBorders>
              <w:left w:val="single" w:sz="8" w:color="BECE33"/>
            </w:tcBorders>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left w:val="single" w:sz="8" w:color="BECE33"/>
            </w:tcBorders>
          </w:tcPr>
          <w:p>
            <w:pPr>
              <w:spacing w:after="0"/>
              <w:rPr>
                <w:sz w:val="3"/>
                <w:szCs w:val="3"/>
                <w:color w:val="auto"/>
              </w:rPr>
            </w:pPr>
          </w:p>
        </w:tc>
        <w:tc>
          <w:tcPr>
            <w:tcW w:w="1240" w:type="dxa"/>
            <w:vAlign w:val="bottom"/>
            <w:tcBorders>
              <w:bottom w:val="single" w:sz="8" w:color="A8C7CA"/>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8C7CA"/>
            </w:tcBorders>
          </w:tcPr>
          <w:p>
            <w:pPr>
              <w:spacing w:after="0"/>
              <w:rPr>
                <w:sz w:val="3"/>
                <w:szCs w:val="3"/>
                <w:color w:val="auto"/>
              </w:rPr>
            </w:pPr>
          </w:p>
        </w:tc>
        <w:tc>
          <w:tcPr>
            <w:tcW w:w="580" w:type="dxa"/>
            <w:vAlign w:val="bottom"/>
            <w:tcBorders>
              <w:bottom w:val="single" w:sz="8" w:color="A8C7CA"/>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8C7CA"/>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8C7CA"/>
            </w:tcBorders>
          </w:tcPr>
          <w:p>
            <w:pPr>
              <w:spacing w:after="0"/>
              <w:rPr>
                <w:sz w:val="3"/>
                <w:szCs w:val="3"/>
                <w:color w:val="auto"/>
              </w:rPr>
            </w:pPr>
          </w:p>
        </w:tc>
        <w:tc>
          <w:tcPr>
            <w:tcW w:w="62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income</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25.3</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56.3</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154.6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103.0</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 on derivative instruments at fair value through profit or loss</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59.6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Grants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10.6</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14.7</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43.5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Bargain purchase</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15.0</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30.8</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65.2</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12.6</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5.1</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36.5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expenses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(729.5)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(410.9)</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(884.7)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(719.9)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Pipeline prioritization costs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(21.1)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(64.7)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(678.5)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(365.9)</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(678.5)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(605.0)</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Litigation costs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(16.0)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(41.2)</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(65.3)</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(84.1)</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on derivative instruments at fair value through profit or loss</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(8.4)</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(26.2)</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220" w:type="dxa"/>
            <w:vAlign w:val="bottom"/>
            <w:tcBorders>
              <w:left w:val="single" w:sz="8" w:color="BECE33"/>
            </w:tcBorders>
          </w:tcPr>
          <w:p>
            <w:pPr>
              <w:spacing w:after="0"/>
              <w:rPr>
                <w:sz w:val="17"/>
                <w:szCs w:val="17"/>
                <w:color w:val="auto"/>
              </w:rPr>
            </w:pPr>
          </w:p>
        </w:tc>
        <w:tc>
          <w:tcPr>
            <w:tcW w:w="138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72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(52.7)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tcBorders>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8C7CA"/>
            </w:tcBorders>
          </w:tcPr>
          <w:p>
            <w:pPr>
              <w:spacing w:after="0"/>
              <w:rPr>
                <w:sz w:val="4"/>
                <w:szCs w:val="4"/>
                <w:color w:val="auto"/>
              </w:rPr>
            </w:pPr>
          </w:p>
        </w:tc>
        <w:tc>
          <w:tcPr>
            <w:tcW w:w="58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8C7CA"/>
            </w:tcBorders>
          </w:tcPr>
          <w:p>
            <w:pPr>
              <w:spacing w:after="0"/>
              <w:rPr>
                <w:sz w:val="4"/>
                <w:szCs w:val="4"/>
                <w:color w:val="auto"/>
              </w:rPr>
            </w:pPr>
          </w:p>
        </w:tc>
        <w:tc>
          <w:tcPr>
            <w:tcW w:w="6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other operating result</w:t>
            </w:r>
          </w:p>
        </w:tc>
        <w:tc>
          <w:tcPr>
            <w:tcW w:w="146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(704.2)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(354.6)</w:t>
            </w:r>
          </w:p>
        </w:tc>
        <w:tc>
          <w:tcPr>
            <w:tcW w:w="140" w:type="dxa"/>
            <w:vAlign w:val="bottom"/>
            <w:tcBorders>
              <w:right w:val="single" w:sz="8" w:color="BECE33"/>
            </w:tcBorders>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(730.1)</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(616.9)</w:t>
            </w: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left w:val="single" w:sz="8" w:color="BECE33"/>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 €113.2 million, or 18%, from a negative operating result of €616.9 million during the nine months ended September 30, 2024 to a negative operating result of €730.1 million during the nine months ended September 30, 2025. The decrease was mainly related to expenses incurred in connection with the settlement of contractual disputes to resolve a patent litigation with CureVac N.V. and GSK plc as announced on August 8, 2025. Under the terms of the settlement agreements, we incurred other operating 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current period.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As of September 30, 2025, the amount of our grants deferred disclosed as other non-financial liabilities in our unaudited interim condensed consolidated financial statements amounted to €76.8 million compared to €85.2 million as of December 31, 2024. Compared to the balance sheet amount for the year ended December 31, 2024, the total nominal amount of government grants and similar grants increased mainly due to an additional grant signed of approximately £129.0 million with the UK Government.</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w:t>
            </w:r>
          </w:p>
        </w:tc>
      </w:tr>
    </w:tbl>
    <w:p>
      <w:pPr>
        <w:sectPr>
          <w:pgSz w:w="11900" w:h="16838" w:orient="portrait"/>
          <w:cols w:equalWidth="0" w:num="1">
            <w:col w:w="11240"/>
          </w:cols>
          <w:pgMar w:left="320" w:top="166" w:right="339" w:bottom="1440" w:gutter="0" w:footer="0" w:header="0"/>
        </w:sectPr>
      </w:pPr>
    </w:p>
    <w:bookmarkStart w:id="20" w:name="page21"/>
    <w:bookmarkEnd w:id="2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4.3 Finance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finance result recognized during the three and nine months ended September 30,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4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40" w:type="dxa"/>
            <w:vAlign w:val="bottom"/>
          </w:tcPr>
          <w:p>
            <w:pPr>
              <w:spacing w:after="0"/>
              <w:rPr>
                <w:sz w:val="13"/>
                <w:szCs w:val="13"/>
                <w:color w:val="auto"/>
              </w:rPr>
            </w:pPr>
          </w:p>
        </w:tc>
        <w:tc>
          <w:tcPr>
            <w:tcW w:w="130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5540" w:type="dxa"/>
            <w:vAlign w:val="bottom"/>
            <w:gridSpan w:val="2"/>
            <w:vMerge w:val="continue"/>
          </w:tcPr>
          <w:p>
            <w:pPr>
              <w:spacing w:after="0"/>
              <w:rPr>
                <w:sz w:val="17"/>
                <w:szCs w:val="17"/>
                <w:color w:val="auto"/>
              </w:rPr>
            </w:pP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44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Finance result</w:t>
            </w:r>
          </w:p>
        </w:tc>
        <w:tc>
          <w:tcPr>
            <w:tcW w:w="120" w:type="dxa"/>
            <w:vAlign w:val="bottom"/>
            <w:tcBorders>
              <w:left w:val="single" w:sz="8" w:color="BECE33"/>
            </w:tcBorders>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Borders>
              <w:bottom w:val="single" w:sz="8" w:color="7FACB1"/>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left w:val="single" w:sz="8" w:color="BECE33"/>
            </w:tcBorders>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52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4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7FACB1"/>
            </w:tcBorders>
          </w:tcPr>
          <w:p>
            <w:pPr>
              <w:spacing w:after="0"/>
              <w:rPr>
                <w:sz w:val="3"/>
                <w:szCs w:val="3"/>
                <w:color w:val="auto"/>
              </w:rPr>
            </w:pPr>
          </w:p>
        </w:tc>
        <w:tc>
          <w:tcPr>
            <w:tcW w:w="58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income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96.8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156.2</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324.8</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498.8</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amortized cost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59.2</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108.2</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205.1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345.7</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fair value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37.5</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48.0</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119.5</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153.1</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20" w:type="dxa"/>
            <w:vAlign w:val="bottom"/>
            <w:tcBorders>
              <w:left w:val="single" w:sz="8" w:color="BECE33"/>
            </w:tcBorders>
          </w:tcPr>
          <w:p>
            <w:pPr>
              <w:spacing w:after="0"/>
              <w:rPr>
                <w:sz w:val="17"/>
                <w:szCs w:val="17"/>
                <w:color w:val="auto"/>
              </w:rPr>
            </w:pPr>
          </w:p>
        </w:tc>
        <w:tc>
          <w:tcPr>
            <w:tcW w:w="1340" w:type="dxa"/>
            <w:vAlign w:val="bottom"/>
            <w:tcBorders>
              <w:right w:val="single" w:sz="8" w:color="BECE33"/>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005A64"/>
              </w:rPr>
              <w:t>—</w:t>
            </w:r>
          </w:p>
        </w:tc>
        <w:tc>
          <w:tcPr>
            <w:tcW w:w="800" w:type="dxa"/>
            <w:vAlign w:val="bottom"/>
            <w:gridSpan w:val="2"/>
          </w:tcPr>
          <w:p>
            <w:pPr>
              <w:spacing w:after="0"/>
              <w:rPr>
                <w:sz w:val="17"/>
                <w:szCs w:val="17"/>
                <w:color w:val="auto"/>
              </w:rPr>
            </w:pPr>
          </w:p>
        </w:tc>
        <w:tc>
          <w:tcPr>
            <w:tcW w:w="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80" w:type="dxa"/>
            <w:vAlign w:val="bottom"/>
          </w:tcPr>
          <w:p>
            <w:pPr>
              <w:spacing w:after="0"/>
              <w:rPr>
                <w:sz w:val="17"/>
                <w:szCs w:val="17"/>
                <w:color w:val="auto"/>
              </w:rPr>
            </w:pPr>
          </w:p>
        </w:tc>
        <w:tc>
          <w:tcPr>
            <w:tcW w:w="13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40" w:type="dxa"/>
            <w:vAlign w:val="bottom"/>
            <w:gridSpan w:val="2"/>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0.1</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0.2</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expenses</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(25.2)</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(8.0)</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(66.1)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(14.8)</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Expenses from financial instruments measured at fair value</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(0.4)</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(5.3)</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(0.8)</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Expenses from financial instruments measured at amortized cost without</w:t>
            </w:r>
          </w:p>
        </w:tc>
        <w:tc>
          <w:tcPr>
            <w:tcW w:w="1340" w:type="dxa"/>
            <w:vAlign w:val="bottom"/>
            <w:tcBorders>
              <w:left w:val="single" w:sz="8" w:color="BECE33"/>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005A64"/>
              </w:rPr>
              <w:t>(1.3)</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5A64"/>
              </w:rPr>
              <w:t>(1.3)</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5A64"/>
              </w:rPr>
              <w:t>(3.0)</w:t>
            </w:r>
          </w:p>
        </w:tc>
        <w:tc>
          <w:tcPr>
            <w:tcW w:w="0" w:type="dxa"/>
            <w:vAlign w:val="bottom"/>
          </w:tcPr>
          <w:p>
            <w:pPr>
              <w:spacing w:after="0"/>
              <w:rPr>
                <w:sz w:val="1"/>
                <w:szCs w:val="1"/>
                <w:color w:val="auto"/>
              </w:rPr>
            </w:pPr>
          </w:p>
        </w:tc>
      </w:tr>
      <w:tr>
        <w:trPr>
          <w:trHeight w:val="94"/>
        </w:trPr>
        <w:tc>
          <w:tcPr>
            <w:tcW w:w="5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005A64"/>
              </w:rPr>
              <w:t>expected credit losses</w:t>
            </w:r>
          </w:p>
        </w:tc>
        <w:tc>
          <w:tcPr>
            <w:tcW w:w="1340" w:type="dxa"/>
            <w:vAlign w:val="bottom"/>
            <w:tcBorders>
              <w:left w:val="single" w:sz="8" w:color="BECE33"/>
            </w:tcBorders>
            <w:gridSpan w:val="2"/>
            <w:vMerge w:val="continue"/>
          </w:tcPr>
          <w:p>
            <w:pPr>
              <w:spacing w:after="0"/>
              <w:rPr>
                <w:sz w:val="8"/>
                <w:szCs w:val="8"/>
                <w:color w:val="auto"/>
              </w:rPr>
            </w:pPr>
          </w:p>
        </w:tc>
        <w:tc>
          <w:tcPr>
            <w:tcW w:w="120" w:type="dxa"/>
            <w:vAlign w:val="bottom"/>
            <w:tcBorders>
              <w:right w:val="single" w:sz="8" w:color="BECE33"/>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Borders>
              <w:right w:val="single" w:sz="8" w:color="BECE33"/>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540" w:type="dxa"/>
            <w:vAlign w:val="bottom"/>
            <w:gridSpan w:val="2"/>
            <w:vMerge w:val="continue"/>
          </w:tcPr>
          <w:p>
            <w:pPr>
              <w:spacing w:after="0"/>
              <w:rPr>
                <w:sz w:val="9"/>
                <w:szCs w:val="9"/>
                <w:color w:val="auto"/>
              </w:rPr>
            </w:pPr>
          </w:p>
        </w:tc>
        <w:tc>
          <w:tcPr>
            <w:tcW w:w="120" w:type="dxa"/>
            <w:vAlign w:val="bottom"/>
            <w:tcBorders>
              <w:left w:val="single" w:sz="8" w:color="BECE33"/>
            </w:tcBorders>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Borders>
              <w:right w:val="single" w:sz="8" w:color="BECE33"/>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right w:val="single" w:sz="8" w:color="BECE33"/>
            </w:tcBorders>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Borders>
              <w:right w:val="single" w:sz="8" w:color="BECE33"/>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(22.6)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(2.7)</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(49.0)</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(0.4)</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(7.7)</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(11.0)</w:t>
            </w:r>
          </w:p>
        </w:tc>
        <w:tc>
          <w:tcPr>
            <w:tcW w:w="0" w:type="dxa"/>
            <w:vAlign w:val="bottom"/>
          </w:tcPr>
          <w:p>
            <w:pPr>
              <w:spacing w:after="0"/>
              <w:rPr>
                <w:sz w:val="1"/>
                <w:szCs w:val="1"/>
                <w:color w:val="auto"/>
              </w:rPr>
            </w:pPr>
          </w:p>
        </w:tc>
      </w:tr>
      <w:tr>
        <w:trPr>
          <w:trHeight w:val="50"/>
        </w:trPr>
        <w:tc>
          <w:tcPr>
            <w:tcW w:w="544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tcBorders>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Borders>
              <w:bottom w:val="single" w:sz="8" w:color="7FACB1"/>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result</w:t>
            </w:r>
          </w:p>
        </w:tc>
        <w:tc>
          <w:tcPr>
            <w:tcW w:w="13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71.6</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148.2</w:t>
            </w:r>
          </w:p>
        </w:tc>
        <w:tc>
          <w:tcPr>
            <w:tcW w:w="140" w:type="dxa"/>
            <w:vAlign w:val="bottom"/>
            <w:tcBorders>
              <w:right w:val="single" w:sz="8" w:color="BECE33"/>
            </w:tcBorders>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258.7</w:t>
            </w:r>
          </w:p>
        </w:tc>
        <w:tc>
          <w:tcPr>
            <w:tcW w:w="14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484.0</w:t>
            </w:r>
          </w:p>
        </w:tc>
        <w:tc>
          <w:tcPr>
            <w:tcW w:w="0" w:type="dxa"/>
            <w:vAlign w:val="bottom"/>
          </w:tcPr>
          <w:p>
            <w:pPr>
              <w:spacing w:after="0"/>
              <w:rPr>
                <w:sz w:val="1"/>
                <w:szCs w:val="1"/>
                <w:color w:val="auto"/>
              </w:rPr>
            </w:pPr>
          </w:p>
        </w:tc>
      </w:tr>
      <w:tr>
        <w:trPr>
          <w:trHeight w:val="50"/>
        </w:trPr>
        <w:tc>
          <w:tcPr>
            <w:tcW w:w="544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E33"/>
              <w:bottom w:val="single" w:sz="8" w:color="BECE33"/>
            </w:tcBorders>
          </w:tcPr>
          <w:p>
            <w:pPr>
              <w:spacing w:after="0"/>
              <w:rPr>
                <w:sz w:val="4"/>
                <w:szCs w:val="4"/>
                <w:color w:val="auto"/>
              </w:rPr>
            </w:pPr>
          </w:p>
        </w:tc>
        <w:tc>
          <w:tcPr>
            <w:tcW w:w="122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1220" w:type="dxa"/>
            <w:vAlign w:val="bottom"/>
            <w:tcBorders>
              <w:bottom w:val="single" w:sz="8" w:color="BECE33"/>
            </w:tcBorders>
          </w:tcPr>
          <w:p>
            <w:pPr>
              <w:spacing w:after="0"/>
              <w:rPr>
                <w:sz w:val="4"/>
                <w:szCs w:val="4"/>
                <w:color w:val="auto"/>
              </w:rPr>
            </w:pPr>
          </w:p>
        </w:tc>
        <w:tc>
          <w:tcPr>
            <w:tcW w:w="14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Our finance result during the three and nine months ended September 30, 2025 and 2024 was mainly derived from returns, such as interests, resulting from our financial investments as well as fair value adjustments of our money market funds. Our total finance result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5. Business Combination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Acquisition of Biotheus</w:t>
      </w:r>
    </w:p>
    <w:p>
      <w:pPr>
        <w:spacing w:after="0" w:line="17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On November 13, 2024, our subsidiary, BioNTech Collaborations GmbH, entered into an agreement and plan of merger, or the Merger Agreement, with Biotheus, a clinical-stage biotechnology company dedicated to the discovery and development of novel antibodies to address unmet medical needs of patients with oncological or inflammatory diseases, to acquire 100 percent of the issued share capital of Biotheus. The acquisition supports the global execution of our oncology strategy and provides full global rights to pumitamig (BNT327/BMS986545), an investigational PD-L1 x VEGF-A bispecific antibody, with potential to replace current checkpoint inhibitor standard of care treatments for solid tumors.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By closing the acquisition, we gained full rights to Biotheus’ other pipeline candidates and its in-house bispecific antibody-drug conjugate capability. The acquisition has expanded our footprint in China,</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13</w:t>
      </w:r>
    </w:p>
    <w:p>
      <w:pPr>
        <w:sectPr>
          <w:pgSz w:w="11900" w:h="16838" w:orient="portrait"/>
          <w:cols w:equalWidth="0" w:num="1">
            <w:col w:w="11240"/>
          </w:cols>
          <w:pgMar w:left="320" w:top="166" w:right="339" w:bottom="1440" w:gutter="0" w:footer="0" w:header="0"/>
          <w:type w:val="continuous"/>
        </w:sectPr>
      </w:pPr>
    </w:p>
    <w:bookmarkStart w:id="21" w:name="page22"/>
    <w:bookmarkEnd w:id="2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Following the satisfaction of several customary closing conditions and regulatory approvals as defined in the Merger Agreement, the acquisition closed on January 31, 2025.</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Since the completion of the acquisition took place in January 2025, we performed an allocation of the total consideration and the underlying assets acquired and liabilities assumed based on their fair values using the information available as of the acquisition date. Due to the complexity of the transaction, this allocation is still preliminary and might be subject to change. The total consideration and the fair values determined in accordance with IFRS 3 of the identified net assets acquired of Biotheus as of January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51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assets non-current and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identifiable net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Bargain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Contingent consideration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Payments in connection with pre-existing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Fair value recognized on</w:t>
      </w:r>
    </w:p>
    <w:p>
      <w:pPr>
        <w:spacing w:after="0" w:line="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acquisition</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005A64"/>
        </w:rPr>
        <w:t>Biotheus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358140</wp:posOffset>
            </wp:positionV>
            <wp:extent cx="1500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386.5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005A64"/>
        </w:rPr>
        <w:t>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005A64"/>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847.4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(567.3)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60" w:space="720"/>
            <w:col w:w="1660"/>
          </w:cols>
          <w:pgMar w:left="320" w:top="166" w:right="339" w:bottom="1440" w:gutter="0" w:footer="0" w:header="0"/>
          <w:type w:val="continuous"/>
        </w:sectPr>
      </w:pPr>
    </w:p>
    <w:p>
      <w:pPr>
        <w:spacing w:after="0" w:line="26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Upon closing and under the terms of the agreement, we paid Biotheus shareholders an upfront payment of €767.8 million in cash. Furthermore, we agreed to pay additional performance-based contingent payments, if certain milestones are met. At the acquisition date, the contingent consideration was recognized at its fair value of €79.6 million based on discounted cash flow projections in connection with performance-based contingent payments. The lower end of the</w:t>
      </w:r>
    </w:p>
    <w:p>
      <w:pPr>
        <w:sectPr>
          <w:pgSz w:w="11900" w:h="16838" w:orient="portrait"/>
          <w:cols w:equalWidth="0" w:num="1">
            <w:col w:w="11240"/>
          </w:cols>
          <w:pgMar w:left="320" w:top="166" w:right="33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14</w:t>
      </w:r>
    </w:p>
    <w:p>
      <w:pPr>
        <w:sectPr>
          <w:pgSz w:w="11900" w:h="16838" w:orient="portrait"/>
          <w:cols w:equalWidth="0" w:num="1">
            <w:col w:w="11240"/>
          </w:cols>
          <w:pgMar w:left="320" w:top="166" w:right="339" w:bottom="1440" w:gutter="0" w:footer="0" w:header="0"/>
          <w:type w:val="continuous"/>
        </w:sectPr>
      </w:pPr>
    </w:p>
    <w:bookmarkStart w:id="22" w:name="page23"/>
    <w:bookmarkEnd w:id="2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bandwidth of possible outcomes of the contingent consideration is zero, and the upper limit is €144.3 million.</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Under the terms of the agreement, we also transferred American Depositary Shares, or ADSs, to eligible shareholders who will provide services to the Group. Under IFRS 3, this is considered remuneration and will be recognized as equity-settled share-based payment, based on the grant date fair value (€49.2 million) as personnel expense over a four-year service period.</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purchase price is mainly allocated to the settlement of our pre-existing relationship in connection with the License and Collaboration Agreement with Biotheus entered into in November 2023, which comprised exclusive rights to the development, manufacturing and commercialization of BNT327/PM8002 ex-Greater China. The amount is separated from the remaining purchase price to be transferred for the acquired business of Biotheus and amounts to €565.1 million. This amount for the settlement of the pre-existing relationship is identified based on the fair value of the settled rights of Biotheus in connection with contingent payments 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acquisition cost to our BNT327/PM8002 ex-Greater China rights. As the requirements under IAS 12 for the initial recognition exemption are fulfilled, we did not record a correspondent deferred tax liability. We did not identify a gain or a loss in connection with the settlement of the pre-existing relationship.</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consideration for the acquired business of Biotheus is allocated to net assets acquired, which mainly include identified intangible assets in connection with Biotheus’ BNT327/PM8002 Greater China rights and other clinical pipeline candidates, property, plant and equipment, cash and liabilities assumed. The fair values of the BNT327/PM8002 Greater China rights and other clinical pipeline candidates were determined based on the direct cash flow approach and amount to €167.7 million.</w:t>
      </w:r>
    </w:p>
    <w:p>
      <w:pPr>
        <w:spacing w:after="0" w:line="23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bargain purchase of €15.0 million was recognized in other operating income, which technically results from the separation of the identified amount in connection with the settlement of the pre-existing relationships and the application of the initial recognition exemption under IAS 12.</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Transaction costs of €6.9 million were expensed and are included in general and administrative expenses. Since the acquisition, Biotheus’ impact on our revenue and profit and loss for the period has been immaterial. Accordingly, pro-forma amounts for our revenue and profit and loss for the financial year, which were calculated on the assumption that the acquisition had taken place at the beginning of the year, would not materially differ from the actual figures reported.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6. Income Taxes</w:t>
      </w:r>
    </w:p>
    <w:p>
      <w:pPr>
        <w:spacing w:after="0" w:line="20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the nine months ended September 30, 2025 and 2024, income taxes were calculated based on the best estimate of the weighted average annual income tax rates expected for the full financial years (estimated annual effective income tax rates) on ordinary income before tax adjusted by the tax effect of any discrete items. During the nine months ended September 30, 2025, our effective income tax rate was approximately (0.9)%. During the nine months ended September 30, 2024, our effective income tax rate was approximately 5.5%.</w:t>
      </w: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w:t>
            </w:r>
          </w:p>
        </w:tc>
      </w:tr>
    </w:tbl>
    <w:p>
      <w:pPr>
        <w:sectPr>
          <w:pgSz w:w="11900" w:h="16838" w:orient="portrait"/>
          <w:cols w:equalWidth="0" w:num="1">
            <w:col w:w="11240"/>
          </w:cols>
          <w:pgMar w:left="320" w:top="166" w:right="339" w:bottom="1440" w:gutter="0" w:footer="0" w:header="0"/>
        </w:sectPr>
      </w:pPr>
    </w:p>
    <w:bookmarkStart w:id="23" w:name="page24"/>
    <w:bookmarkEnd w:id="2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effective income tax rate was mainly driven by the expected negative result for 2025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As of September 30, 2025, As of September 30, 2025, the recoverability of the U.S. tax group’s deferred tax assets were reassessed in light of recent operational changes requiring the implementation of a specified transfer pricing model. The specified model is expected to reduce forecasted taxable profits in the United States. Based on updated financial projections, it has been concluded that it is no longer probable that sufficient future taxable profits will be available to realize the deferred tax assets previously recognized. Consequently, deferred tax assets of €68.4 million were derecognized, resulting in a tax expense of €68.4 million recognized in the interim period.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and nine months ended September 30, 2025 do not include further information otherwise required by paragraphs 88B and 88C of IAS 12.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income taxes recognized during the three and nine months ended September 30, 2025 and 2024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4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5440" w:type="dxa"/>
            <w:vAlign w:val="bottom"/>
            <w:gridSpan w:val="2"/>
            <w:vMerge w:val="continue"/>
          </w:tcPr>
          <w:p>
            <w:pPr>
              <w:spacing w:after="0"/>
              <w:rPr>
                <w:sz w:val="17"/>
                <w:szCs w:val="17"/>
                <w:color w:val="auto"/>
              </w:rPr>
            </w:pP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4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Current income taxes</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(8.5)</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w:t>
            </w:r>
          </w:p>
        </w:tc>
        <w:tc>
          <w:tcPr>
            <w:tcW w:w="0" w:type="dxa"/>
            <w:vAlign w:val="bottom"/>
          </w:tcPr>
          <w:p>
            <w:pPr>
              <w:spacing w:after="0"/>
              <w:rPr>
                <w:sz w:val="1"/>
                <w:szCs w:val="1"/>
                <w:color w:val="auto"/>
              </w:rPr>
            </w:pPr>
          </w:p>
        </w:tc>
      </w:tr>
      <w:tr>
        <w:trPr>
          <w:trHeight w:val="50"/>
        </w:trPr>
        <w:tc>
          <w:tcPr>
            <w:tcW w:w="524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taxes</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56.3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(30.9)</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(52.1)</w:t>
            </w:r>
          </w:p>
        </w:tc>
        <w:tc>
          <w:tcPr>
            <w:tcW w:w="0" w:type="dxa"/>
            <w:vAlign w:val="bottom"/>
          </w:tcPr>
          <w:p>
            <w:pPr>
              <w:spacing w:after="0"/>
              <w:rPr>
                <w:sz w:val="1"/>
                <w:szCs w:val="1"/>
                <w:color w:val="auto"/>
              </w:rPr>
            </w:pPr>
          </w:p>
        </w:tc>
      </w:tr>
      <w:tr>
        <w:trPr>
          <w:trHeight w:val="50"/>
        </w:trPr>
        <w:tc>
          <w:tcPr>
            <w:tcW w:w="5240" w:type="dxa"/>
            <w:vAlign w:val="bottom"/>
            <w:tcBorders>
              <w:bottom w:val="single" w:sz="8" w:color="7FACB1"/>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Income taxes expenses / (income)</w:t>
            </w:r>
          </w:p>
        </w:tc>
        <w:tc>
          <w:tcPr>
            <w:tcW w:w="13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(39.4)</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(54.1)</w:t>
            </w:r>
          </w:p>
        </w:tc>
        <w:tc>
          <w:tcPr>
            <w:tcW w:w="0" w:type="dxa"/>
            <w:vAlign w:val="bottom"/>
          </w:tcPr>
          <w:p>
            <w:pPr>
              <w:spacing w:after="0"/>
              <w:rPr>
                <w:sz w:val="1"/>
                <w:szCs w:val="1"/>
                <w:color w:val="auto"/>
              </w:rPr>
            </w:pPr>
          </w:p>
        </w:tc>
      </w:tr>
      <w:tr>
        <w:trPr>
          <w:trHeight w:val="50"/>
        </w:trPr>
        <w:tc>
          <w:tcPr>
            <w:tcW w:w="5240" w:type="dxa"/>
            <w:vAlign w:val="bottom"/>
            <w:tcBorders>
              <w:bottom w:val="single" w:sz="8" w:color="005A64"/>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2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2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7. Other Intangible Assets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identify indications of impairment of other intangible assets using various factors from external and internal information sources, including deviations from sales forecasts and the analysis of changes in medium-term planning.</w:t>
      </w:r>
    </w:p>
    <w:p>
      <w:pPr>
        <w:spacing w:after="0" w:line="217"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During the three months ended September 30, 2025, we identified a triggering event in connection with the asset related to the product candidate BNT323/DB-1303 due to revision of our commercial forecast assumptions. We performed an impairment test which revealed an impairment loss of €85.4 million recognized as research and development expenses in our statements of profit or loss. The impairment does not impact our strategy to bring BNT323/DB-1303 to market. We continue to view this product candidate as a foundational opportunity to establish our commercial infrastructure, paving the way for future launches. We did not identify any further indication that other intangible assets may be impaired during the three months ended September 30, 2025.</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w:t>
            </w:r>
          </w:p>
        </w:tc>
      </w:tr>
    </w:tbl>
    <w:p>
      <w:pPr>
        <w:sectPr>
          <w:pgSz w:w="11900" w:h="16838" w:orient="portrait"/>
          <w:cols w:equalWidth="0" w:num="1">
            <w:col w:w="11240"/>
          </w:cols>
          <w:pgMar w:left="320" w:top="166" w:right="339" w:bottom="1440" w:gutter="0" w:footer="0" w:header="0"/>
        </w:sectPr>
      </w:pPr>
    </w:p>
    <w:bookmarkStart w:id="24" w:name="page25"/>
    <w:bookmarkEnd w:id="2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8. Financial Assets and Financial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Assets and Liabilities at Amortized Cost and at Fair Value through OCI and Profit or Loss</w:t>
      </w:r>
    </w:p>
    <w:p>
      <w:pPr>
        <w:spacing w:after="0" w:line="17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1517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September 30, 2025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BECE33"/>
            </w:tcBorders>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1220" w:type="dxa"/>
            <w:vAlign w:val="bottom"/>
            <w:tcBorders>
              <w:bottom w:val="single" w:sz="8" w:color="BECE33"/>
            </w:tcBorders>
            <w:gridSpan w:val="3"/>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1180" w:type="dxa"/>
            <w:vAlign w:val="bottom"/>
            <w:tcBorders>
              <w:bottom w:val="single" w:sz="8" w:color="BECE33"/>
            </w:tcBorders>
            <w:gridSpan w:val="2"/>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00" w:type="dxa"/>
            <w:vAlign w:val="bottom"/>
            <w:tcBorders>
              <w:bottom w:val="single" w:sz="8" w:color="BECE33"/>
            </w:tcBorders>
          </w:tcPr>
          <w:p>
            <w:pPr>
              <w:spacing w:after="0"/>
              <w:rPr>
                <w:sz w:val="17"/>
                <w:szCs w:val="17"/>
                <w:color w:val="auto"/>
              </w:rPr>
            </w:pPr>
          </w:p>
        </w:tc>
        <w:tc>
          <w:tcPr>
            <w:tcW w:w="80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6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020" w:type="dxa"/>
            <w:vAlign w:val="bottom"/>
            <w:tcBorders>
              <w:right w:val="single" w:sz="8" w:color="BECE33"/>
            </w:tcBorders>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profit or loss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9.0</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9.0</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5,694.4</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5,694.4</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5,694.4</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5,694.4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199.9</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199.9</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43.4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43.4</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43.4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OCI</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75.1</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75.1</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75.1</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75.1</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4,075.7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2,336.4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6,412.1</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6,412.1</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4,034.4</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4,034.4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4,034.4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364.1</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364.1</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364.1</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690.8</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690.8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690.8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150.0</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150.0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150.0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19.7</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bottom w:val="single" w:sz="8" w:color="A8C7CA"/>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8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96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00" w:type="dxa"/>
            <w:vAlign w:val="bottom"/>
            <w:tcBorders>
              <w:bottom w:val="single" w:sz="8" w:color="A8C7CA"/>
            </w:tcBorders>
          </w:tcPr>
          <w:p>
            <w:pPr>
              <w:spacing w:after="0"/>
              <w:rPr>
                <w:sz w:val="15"/>
                <w:szCs w:val="15"/>
                <w:color w:val="auto"/>
              </w:rPr>
            </w:pPr>
          </w:p>
        </w:tc>
        <w:tc>
          <w:tcPr>
            <w:tcW w:w="800" w:type="dxa"/>
            <w:vAlign w:val="bottom"/>
            <w:tcBorders>
              <w:bottom w:val="single" w:sz="8" w:color="A8C7CA"/>
            </w:tcBorders>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83"/>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0.6</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0.6</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78.7</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121.7</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121.7</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121.7</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Loans and borrowings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25.3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38.5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38.5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399.8</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399.8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399.8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553.7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17.7</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571.4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571.4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 according to</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IFRS 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166.8</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207.0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207.0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220" w:type="dxa"/>
            <w:vAlign w:val="bottom"/>
            <w:tcBorders>
              <w:bottom w:val="single" w:sz="8" w:color="BECE33"/>
              <w:right w:val="single" w:sz="8" w:color="BECE33"/>
            </w:tcBorders>
          </w:tcPr>
          <w:p>
            <w:pPr>
              <w:spacing w:after="0"/>
              <w:rPr>
                <w:sz w:val="2"/>
                <w:szCs w:val="2"/>
                <w:color w:val="auto"/>
              </w:rPr>
            </w:pPr>
          </w:p>
        </w:tc>
      </w:tr>
    </w:tbl>
    <w:p>
      <w:pPr>
        <w:spacing w:after="0" w:line="90"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Additional developments in our financial assets and liabilities during the nine months ended September 30, 2025 mainly resulted from a reallocation of existing capital and from new security investments (short-term fund) disclosed as other financial assets subsequently measured at fair value through profit and loss, which was entered into to strengthen our short-term security investment position. Furthermore, our financial assets decreased in the amount of €1,253.1 million in security investments disclosed as cash and cash equivalents subsequently measured at fair value through profit and loss (money market funds) and security investments disclosed as other financial assets subsequently measured at amortized costs (for example, bonds and commercial paper) decreased in</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17</w:t>
      </w:r>
    </w:p>
    <w:p>
      <w:pPr>
        <w:sectPr>
          <w:pgSz w:w="11900" w:h="16838" w:orient="portrait"/>
          <w:cols w:equalWidth="0" w:num="1">
            <w:col w:w="11240"/>
          </w:cols>
          <w:pgMar w:left="320" w:top="166" w:right="339" w:bottom="1440" w:gutter="0" w:footer="0" w:header="0"/>
          <w:type w:val="continuous"/>
        </w:sectPr>
      </w:pPr>
    </w:p>
    <w:bookmarkStart w:id="25" w:name="page26"/>
    <w:bookmarkEnd w:id="2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amount of €1,185.2 million compared to year-end 2024. Security investments disclosed as cash and cash equivalents subsequently measured at amortized cost increased by €1,670.0 million during the nine months ended September 30, 2025 due to a focus on short-term investments.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total, our cash and security investments decreased by €654.3 million compared to December 31, 2024.</w:t>
      </w:r>
    </w:p>
    <w:p>
      <w:pPr>
        <w:spacing w:after="0" w:line="33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other financial liabilities decreased by €854.8 million during the nine months ended September 30, 2025. A decrease of €1,369.9 million resulted from payments made in connection with the settlement of contractual disputes during the six months ended June 30, 2025. During the three months ended September 30, 2025, other financial liabilities increased by €417.6 million including VAT, as a result of the respective settlement agreements with CureVac N.V. and GSK plc (see Note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51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December 31, 2024</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4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0" w:type="dxa"/>
            <w:vAlign w:val="bottom"/>
          </w:tcPr>
          <w:p>
            <w:pPr>
              <w:spacing w:after="0"/>
              <w:rPr>
                <w:sz w:val="1"/>
                <w:szCs w:val="1"/>
                <w:color w:val="auto"/>
              </w:rPr>
            </w:pPr>
          </w:p>
        </w:tc>
      </w:tr>
      <w:tr>
        <w:trPr>
          <w:trHeight w:val="165"/>
        </w:trPr>
        <w:tc>
          <w:tcPr>
            <w:tcW w:w="3260" w:type="dxa"/>
            <w:vAlign w:val="bottom"/>
            <w:tcBorders>
              <w:top w:val="single" w:sz="8" w:color="005A64"/>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profit or loss</w:t>
            </w: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11.9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6,947.5</w:t>
            </w:r>
          </w:p>
        </w:tc>
        <w:tc>
          <w:tcPr>
            <w:tcW w:w="4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6,947.5</w:t>
            </w:r>
          </w:p>
        </w:tc>
        <w:tc>
          <w:tcPr>
            <w:tcW w:w="0" w:type="dxa"/>
            <w:vAlign w:val="bottom"/>
          </w:tcPr>
          <w:p>
            <w:pPr>
              <w:spacing w:after="0"/>
              <w:rPr>
                <w:sz w:val="1"/>
                <w:szCs w:val="1"/>
                <w:color w:val="auto"/>
              </w:rPr>
            </w:pPr>
          </w:p>
        </w:tc>
      </w:tr>
      <w:tr>
        <w:trPr>
          <w:trHeight w:val="81"/>
        </w:trPr>
        <w:tc>
          <w:tcPr>
            <w:tcW w:w="30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220" w:type="dxa"/>
            <w:vAlign w:val="bottom"/>
            <w:vMerge w:val="restart"/>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40" w:type="dxa"/>
            <w:vAlign w:val="bottom"/>
            <w:tcBorders>
              <w:bottom w:val="single" w:sz="8" w:color="7FACB1"/>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39.6</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39.6</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OCI</w:t>
            </w:r>
          </w:p>
        </w:tc>
        <w:tc>
          <w:tcPr>
            <w:tcW w:w="22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92.7</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92.7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6,536.2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1,061.1</w:t>
            </w:r>
          </w:p>
        </w:tc>
        <w:tc>
          <w:tcPr>
            <w:tcW w:w="4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7,597.3</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7,597.3</w:t>
            </w:r>
          </w:p>
        </w:tc>
        <w:tc>
          <w:tcPr>
            <w:tcW w:w="0" w:type="dxa"/>
            <w:vAlign w:val="bottom"/>
          </w:tcPr>
          <w:p>
            <w:pPr>
              <w:spacing w:after="0"/>
              <w:rPr>
                <w:sz w:val="1"/>
                <w:szCs w:val="1"/>
                <w:color w:val="auto"/>
              </w:rPr>
            </w:pPr>
          </w:p>
        </w:tc>
      </w:tr>
      <w:tr>
        <w:trPr>
          <w:trHeight w:val="81"/>
        </w:trPr>
        <w:tc>
          <w:tcPr>
            <w:tcW w:w="30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5A64"/>
              </w:rPr>
              <w:t>assets</w:t>
            </w:r>
          </w:p>
        </w:tc>
        <w:tc>
          <w:tcPr>
            <w:tcW w:w="220" w:type="dxa"/>
            <w:vAlign w:val="bottom"/>
            <w:vMerge w:val="restart"/>
          </w:tcPr>
          <w:p>
            <w:pPr>
              <w:spacing w:after="0"/>
              <w:rPr>
                <w:sz w:val="7"/>
                <w:szCs w:val="7"/>
                <w:color w:val="auto"/>
              </w:rPr>
            </w:pPr>
          </w:p>
        </w:tc>
        <w:tc>
          <w:tcPr>
            <w:tcW w:w="7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40" w:type="dxa"/>
            <w:vAlign w:val="bottom"/>
            <w:tcBorders>
              <w:bottom w:val="single" w:sz="8" w:color="7FACB1"/>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2,364.4</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2,364.4</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2,364.4</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450.0</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450.0</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450.0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1,463.9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1,463.9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1,463.9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514.5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514.5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16.3</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16.3</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46.9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47.8</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amortized 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426.7</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426.7</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426.7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1,426.2</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1,426.2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1,426.2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according to IFRS 9</w:t>
            </w:r>
          </w:p>
        </w:tc>
        <w:tc>
          <w:tcPr>
            <w:tcW w:w="74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214.7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254.2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254.2</w:t>
            </w:r>
          </w:p>
        </w:tc>
        <w:tc>
          <w:tcPr>
            <w:tcW w:w="0" w:type="dxa"/>
            <w:vAlign w:val="bottom"/>
          </w:tcPr>
          <w:p>
            <w:pPr>
              <w:spacing w:after="0"/>
              <w:rPr>
                <w:sz w:val="1"/>
                <w:szCs w:val="1"/>
                <w:color w:val="auto"/>
              </w:rPr>
            </w:pPr>
          </w:p>
        </w:tc>
      </w:tr>
      <w:tr>
        <w:trPr>
          <w:trHeight w:val="34"/>
        </w:trPr>
        <w:tc>
          <w:tcPr>
            <w:tcW w:w="304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18</w:t>
            </w:r>
          </w:p>
        </w:tc>
      </w:tr>
    </w:tbl>
    <w:p>
      <w:pPr>
        <w:sectPr>
          <w:pgSz w:w="11900" w:h="16838" w:orient="portrait"/>
          <w:cols w:equalWidth="0" w:num="1">
            <w:col w:w="11240"/>
          </w:cols>
          <w:pgMar w:left="320" w:top="166" w:right="339" w:bottom="1440" w:gutter="0" w:footer="0" w:header="0"/>
        </w:sectPr>
      </w:pPr>
    </w:p>
    <w:bookmarkStart w:id="26" w:name="page27"/>
    <w:bookmarkEnd w:id="2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Equity investments designated at Fair Value through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Borders>
              <w:top w:val="single" w:sz="8" w:color="BECD32"/>
            </w:tcBorders>
          </w:tcPr>
          <w:p>
            <w:pPr>
              <w:spacing w:after="0"/>
              <w:rPr>
                <w:sz w:val="19"/>
                <w:szCs w:val="19"/>
                <w:color w:val="auto"/>
              </w:rPr>
            </w:pPr>
          </w:p>
        </w:tc>
        <w:tc>
          <w:tcPr>
            <w:tcW w:w="2160" w:type="dxa"/>
            <w:vAlign w:val="bottom"/>
            <w:tcBorders>
              <w:top w:val="single" w:sz="8" w:color="BECD32"/>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Fair value as of September 30,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Fair value as of December 31,</w:t>
            </w:r>
          </w:p>
        </w:tc>
      </w:tr>
      <w:tr>
        <w:trPr>
          <w:trHeight w:val="203"/>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r>
      <w:tr>
        <w:trPr>
          <w:trHeight w:val="50"/>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Autolus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46.2</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75.4</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Ryvu</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17.3</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Investment in DualityBio</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investments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w:t>
            </w:r>
          </w:p>
        </w:tc>
      </w:tr>
      <w:tr>
        <w:trPr>
          <w:trHeight w:val="50"/>
        </w:trPr>
        <w:tc>
          <w:tcPr>
            <w:tcW w:w="67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7FACB1"/>
            </w:tcBorders>
          </w:tcPr>
          <w:p>
            <w:pPr>
              <w:spacing w:after="0"/>
              <w:rPr>
                <w:sz w:val="4"/>
                <w:szCs w:val="4"/>
                <w:color w:val="auto"/>
              </w:rPr>
            </w:pPr>
          </w:p>
        </w:tc>
      </w:tr>
      <w:tr>
        <w:trPr>
          <w:trHeight w:val="200"/>
        </w:trPr>
        <w:tc>
          <w:tcPr>
            <w:tcW w:w="6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76.5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94.2</w:t>
            </w:r>
          </w:p>
        </w:tc>
      </w:tr>
      <w:tr>
        <w:trPr>
          <w:trHeight w:val="50"/>
        </w:trPr>
        <w:tc>
          <w:tcPr>
            <w:tcW w:w="67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0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April 2025, we invested €4.5 million in DualityBio.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Financial investments in equity instruments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0518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05" w:lineRule="exact"/>
        <w:rPr>
          <w:sz w:val="20"/>
          <w:szCs w:val="20"/>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518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0518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2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2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36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600" w:type="dxa"/>
            <w:vAlign w:val="bottom"/>
            <w:tcBorders>
              <w:bottom w:val="single" w:sz="8" w:color="BECD32"/>
            </w:tcBorders>
            <w:gridSpan w:val="2"/>
          </w:tcPr>
          <w:p>
            <w:pPr>
              <w:spacing w:after="0"/>
              <w:rPr>
                <w:sz w:val="13"/>
                <w:szCs w:val="13"/>
                <w:color w:val="auto"/>
              </w:rPr>
            </w:pPr>
          </w:p>
        </w:tc>
        <w:tc>
          <w:tcPr>
            <w:tcW w:w="14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(14.9)</w:t>
            </w: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0.7</w:t>
            </w:r>
          </w:p>
        </w:tc>
        <w:tc>
          <w:tcPr>
            <w:tcW w:w="120" w:type="dxa"/>
            <w:vAlign w:val="bottom"/>
            <w:tcBorders>
              <w:right w:val="single" w:sz="8" w:color="BECD32"/>
            </w:tcBorders>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(22.1)</w:t>
            </w: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(108.3)</w:t>
            </w:r>
          </w:p>
        </w:tc>
        <w:tc>
          <w:tcPr>
            <w:tcW w:w="0" w:type="dxa"/>
            <w:vAlign w:val="bottom"/>
          </w:tcPr>
          <w:p>
            <w:pPr>
              <w:spacing w:after="0"/>
              <w:rPr>
                <w:sz w:val="1"/>
                <w:szCs w:val="1"/>
                <w:color w:val="auto"/>
              </w:rPr>
            </w:pPr>
          </w:p>
        </w:tc>
      </w:tr>
      <w:tr>
        <w:trPr>
          <w:trHeight w:val="158"/>
        </w:trPr>
        <w:tc>
          <w:tcPr>
            <w:tcW w:w="100" w:type="dxa"/>
            <w:vAlign w:val="bottom"/>
            <w:tcBorders>
              <w:left w:val="single" w:sz="8" w:color="BECD32"/>
            </w:tcBorders>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520" w:type="dxa"/>
            <w:vAlign w:val="bottom"/>
            <w:tcBorders>
              <w:bottom w:val="single" w:sz="8" w:color="7FACB1"/>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bottom w:val="single" w:sz="8" w:color="7FACB1"/>
            </w:tcBorders>
          </w:tcPr>
          <w:p>
            <w:pPr>
              <w:spacing w:after="0"/>
              <w:rPr>
                <w:sz w:val="13"/>
                <w:szCs w:val="13"/>
                <w:color w:val="auto"/>
              </w:rPr>
            </w:pPr>
          </w:p>
        </w:tc>
        <w:tc>
          <w:tcPr>
            <w:tcW w:w="14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7FACB1"/>
            </w:tcBorders>
          </w:tcPr>
          <w:p>
            <w:pPr>
              <w:spacing w:after="0"/>
              <w:rPr>
                <w:sz w:val="13"/>
                <w:szCs w:val="13"/>
                <w:color w:val="auto"/>
              </w:rPr>
            </w:pPr>
          </w:p>
        </w:tc>
        <w:tc>
          <w:tcPr>
            <w:tcW w:w="76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6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(14.9)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0.7</w:t>
            </w:r>
          </w:p>
        </w:tc>
        <w:tc>
          <w:tcPr>
            <w:tcW w:w="120" w:type="dxa"/>
            <w:vAlign w:val="bottom"/>
            <w:tcBorders>
              <w:right w:val="single" w:sz="8" w:color="BECD32"/>
            </w:tcBorders>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(22.1)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(108.3)</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50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00" w:space="420"/>
            <w:col w:w="6300"/>
          </w:cols>
          <w:pgMar w:left="320" w:top="166"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Measurement of fair values</w:t>
      </w:r>
    </w:p>
    <w:p>
      <w:pPr>
        <w:spacing w:after="0" w:line="165"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6116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6116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16116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116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Money market and 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116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6116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6116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50800</wp:posOffset>
            </wp:positionV>
            <wp:extent cx="3051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32"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4"/>
          <w:szCs w:val="14"/>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123190</wp:posOffset>
            </wp:positionV>
            <wp:extent cx="30518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6" w:lineRule="exact"/>
        <w:rPr>
          <w:sz w:val="20"/>
          <w:szCs w:val="20"/>
          <w:color w:val="auto"/>
        </w:rPr>
      </w:pPr>
    </w:p>
    <w:p>
      <w:pPr>
        <w:ind w:right="80"/>
        <w:spacing w:after="0" w:line="342" w:lineRule="auto"/>
        <w:rPr>
          <w:sz w:val="20"/>
          <w:szCs w:val="20"/>
          <w:color w:val="auto"/>
        </w:rPr>
      </w:pPr>
      <w:r>
        <w:rPr>
          <w:rFonts w:ascii="Times New Roman" w:cs="Times New Roman" w:eastAsia="Times New Roman" w:hAnsi="Times New Roman"/>
          <w:sz w:val="14"/>
          <w:szCs w:val="14"/>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554355</wp:posOffset>
            </wp:positionV>
            <wp:extent cx="3051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342" w:lineRule="auto"/>
        <w:rPr>
          <w:sz w:val="20"/>
          <w:szCs w:val="20"/>
          <w:color w:val="auto"/>
        </w:rPr>
      </w:pPr>
      <w:r>
        <w:rPr>
          <w:rFonts w:ascii="Times New Roman" w:cs="Times New Roman" w:eastAsia="Times New Roman" w:hAnsi="Times New Roman"/>
          <w:sz w:val="14"/>
          <w:szCs w:val="14"/>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-10795</wp:posOffset>
            </wp:positionV>
            <wp:extent cx="30518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92075</wp:posOffset>
            </wp:positionV>
            <wp:extent cx="30518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57" w:lineRule="exact"/>
        <w:rPr>
          <w:sz w:val="20"/>
          <w:szCs w:val="20"/>
          <w:color w:val="auto"/>
        </w:rPr>
      </w:pPr>
    </w:p>
    <w:p>
      <w:pPr>
        <w:ind w:right="380"/>
        <w:spacing w:after="0" w:line="322" w:lineRule="auto"/>
        <w:rPr>
          <w:sz w:val="20"/>
          <w:szCs w:val="20"/>
          <w:color w:val="auto"/>
        </w:rPr>
      </w:pPr>
      <w:r>
        <w:rPr>
          <w:rFonts w:ascii="Times New Roman" w:cs="Times New Roman" w:eastAsia="Times New Roman" w:hAnsi="Times New Roman"/>
          <w:sz w:val="14"/>
          <w:szCs w:val="14"/>
          <w:color w:val="005A64"/>
        </w:rPr>
        <w:t>Present value of expected future payments and reflecting changes in expected achievement of underlying performance parameters and compounding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30518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272415</wp:posOffset>
            </wp:positionV>
            <wp:extent cx="30518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420"/>
        <w:spacing w:after="0" w:line="506" w:lineRule="auto"/>
        <w:rPr>
          <w:sz w:val="20"/>
          <w:szCs w:val="20"/>
          <w:color w:val="auto"/>
        </w:rPr>
      </w:pPr>
      <w:r>
        <w:rPr>
          <w:rFonts w:ascii="Times New Roman" w:cs="Times New Roman" w:eastAsia="Times New Roman" w:hAnsi="Times New Roman"/>
          <w:sz w:val="14"/>
          <w:szCs w:val="14"/>
          <w:b w:val="1"/>
          <w:bCs w:val="1"/>
          <w:color w:val="005A64"/>
        </w:rPr>
        <w:t xml:space="preserve">Significant unobservable inputs </w:t>
      </w: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304800</wp:posOffset>
            </wp:positionV>
            <wp:extent cx="22288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-277495</wp:posOffset>
            </wp:positionV>
            <wp:extent cx="22288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Actual and forecasted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Net asset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Cash position</w:t>
      </w:r>
    </w:p>
    <w:p>
      <w:pPr>
        <w:spacing w:after="0" w:line="109" w:lineRule="exact"/>
        <w:rPr>
          <w:sz w:val="20"/>
          <w:szCs w:val="20"/>
          <w:color w:val="auto"/>
        </w:rPr>
      </w:pPr>
    </w:p>
    <w:p>
      <w:pPr>
        <w:ind w:left="120" w:right="340" w:hanging="128"/>
        <w:spacing w:after="0" w:line="291" w:lineRule="auto"/>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Nature and pricing indication of latest financing</w:t>
      </w: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199390</wp:posOffset>
            </wp:positionV>
            <wp:extent cx="2228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177800</wp:posOffset>
            </wp:positionV>
            <wp:extent cx="22288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22288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22288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-301625</wp:posOffset>
            </wp:positionV>
            <wp:extent cx="22288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20" w:space="720"/>
            <w:col w:w="4680" w:space="300"/>
            <w:col w:w="3500"/>
          </w:cols>
          <w:pgMar w:left="32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19</w:t>
      </w:r>
    </w:p>
    <w:p>
      <w:pPr>
        <w:sectPr>
          <w:pgSz w:w="11900" w:h="16838" w:orient="portrait"/>
          <w:cols w:equalWidth="0" w:num="1">
            <w:col w:w="11220"/>
          </w:cols>
          <w:pgMar w:left="320" w:top="166" w:right="359" w:bottom="1440" w:gutter="0" w:footer="0" w:header="0"/>
          <w:type w:val="continuous"/>
        </w:sectPr>
      </w:pPr>
    </w:p>
    <w:bookmarkStart w:id="27" w:name="page28"/>
    <w:bookmarkEnd w:id="2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Recurring Fair Values (Level 3)</w:t>
      </w:r>
    </w:p>
    <w:p>
      <w:pPr>
        <w:spacing w:after="0" w:line="179"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862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Financial liabilities</w:t>
            </w:r>
          </w:p>
        </w:tc>
        <w:tc>
          <w:tcPr>
            <w:tcW w:w="0" w:type="dxa"/>
            <w:vAlign w:val="bottom"/>
          </w:tcPr>
          <w:p>
            <w:pPr>
              <w:spacing w:after="0"/>
              <w:rPr>
                <w:sz w:val="1"/>
                <w:szCs w:val="1"/>
                <w:color w:val="auto"/>
              </w:rPr>
            </w:pPr>
          </w:p>
        </w:tc>
      </w:tr>
      <w:tr>
        <w:trPr>
          <w:trHeight w:val="50"/>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Other 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Contingent consideration</w:t>
            </w: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2024</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(38.8)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37.7</w:t>
            </w:r>
          </w:p>
        </w:tc>
        <w:tc>
          <w:tcPr>
            <w:tcW w:w="400" w:type="dxa"/>
            <w:vAlign w:val="bottom"/>
          </w:tcPr>
          <w:p>
            <w:pPr>
              <w:spacing w:after="0"/>
              <w:rPr>
                <w:sz w:val="17"/>
                <w:szCs w:val="17"/>
                <w:color w:val="auto"/>
              </w:rPr>
            </w:pP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September 30, 2024</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43.4</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380" w:type="dxa"/>
            <w:vAlign w:val="bottom"/>
            <w:gridSpan w:val="2"/>
          </w:tcPr>
          <w:p>
            <w:pPr>
              <w:spacing w:after="0"/>
              <w:rPr>
                <w:sz w:val="4"/>
                <w:szCs w:val="4"/>
                <w:color w:val="auto"/>
              </w:rPr>
            </w:pPr>
          </w:p>
        </w:tc>
        <w:tc>
          <w:tcPr>
            <w:tcW w:w="27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top w:val="single" w:sz="8" w:color="005A64"/>
              <w:bottom w:val="single" w:sz="8" w:color="005A64"/>
            </w:tcBorders>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39.6</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900" w:type="dxa"/>
            <w:vAlign w:val="bottom"/>
            <w:tcBorders>
              <w:bottom w:val="single" w:sz="8" w:color="BECE33"/>
            </w:tcBorders>
            <w:gridSpan w:val="2"/>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(79.6)</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Other operating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10.8</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3.8</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(5.1)</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September 30,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43.4</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(121.7)</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500" w:type="dxa"/>
            <w:vAlign w:val="bottom"/>
            <w:tcBorders>
              <w:bottom w:val="single" w:sz="8" w:color="BECE33"/>
            </w:tcBorders>
          </w:tcPr>
          <w:p>
            <w:pPr>
              <w:spacing w:after="0"/>
              <w:rPr>
                <w:sz w:val="4"/>
                <w:szCs w:val="4"/>
                <w:color w:val="auto"/>
              </w:rPr>
            </w:pPr>
          </w:p>
        </w:tc>
        <w:tc>
          <w:tcPr>
            <w:tcW w:w="400" w:type="dxa"/>
            <w:vAlign w:val="bottom"/>
            <w:tcBorders>
              <w:bottom w:val="single" w:sz="8" w:color="BECE33"/>
            </w:tcBorders>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royalty assets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D32"/>
            </w:tcBorders>
          </w:tcPr>
          <w:p>
            <w:pPr>
              <w:spacing w:after="0"/>
              <w:rPr>
                <w:sz w:val="18"/>
                <w:szCs w:val="18"/>
                <w:color w:val="auto"/>
              </w:rPr>
            </w:pPr>
          </w:p>
        </w:tc>
        <w:tc>
          <w:tcPr>
            <w:tcW w:w="200" w:type="dxa"/>
            <w:vAlign w:val="bottom"/>
            <w:tcBorders>
              <w:top w:val="single" w:sz="8" w:color="BECD32"/>
            </w:tcBorders>
          </w:tcPr>
          <w:p>
            <w:pPr>
              <w:spacing w:after="0"/>
              <w:rPr>
                <w:sz w:val="18"/>
                <w:szCs w:val="18"/>
                <w:color w:val="auto"/>
              </w:rPr>
            </w:pPr>
          </w:p>
        </w:tc>
        <w:tc>
          <w:tcPr>
            <w:tcW w:w="1820" w:type="dxa"/>
            <w:vAlign w:val="bottom"/>
            <w:tcBorders>
              <w:top w:val="single" w:sz="8" w:color="BECD32"/>
            </w:tcBorders>
          </w:tcPr>
          <w:p>
            <w:pPr>
              <w:spacing w:after="0"/>
              <w:rPr>
                <w:sz w:val="18"/>
                <w:szCs w:val="18"/>
                <w:color w:val="auto"/>
              </w:rPr>
            </w:pPr>
          </w:p>
        </w:tc>
        <w:tc>
          <w:tcPr>
            <w:tcW w:w="220" w:type="dxa"/>
            <w:vAlign w:val="bottom"/>
            <w:tcBorders>
              <w:top w:val="single" w:sz="8" w:color="BECD32"/>
              <w:right w:val="single" w:sz="8" w:color="BECD32"/>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5.1</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(5.1)</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(4.0)</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4.4</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820" w:type="dxa"/>
            <w:vAlign w:val="bottom"/>
            <w:tcBorders>
              <w:bottom w:val="single" w:sz="8" w:color="BECD32"/>
            </w:tcBorders>
          </w:tcPr>
          <w:p>
            <w:pPr>
              <w:spacing w:after="0"/>
              <w:rPr>
                <w:sz w:val="4"/>
                <w:szCs w:val="4"/>
                <w:color w:val="auto"/>
              </w:rPr>
            </w:pPr>
          </w:p>
        </w:tc>
        <w:tc>
          <w:tcPr>
            <w:tcW w:w="220" w:type="dxa"/>
            <w:vAlign w:val="bottom"/>
            <w:tcBorders>
              <w:bottom w:val="single" w:sz="8" w:color="BECD32"/>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6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contingent consideration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c>
          <w:tcPr>
            <w:tcW w:w="200" w:type="dxa"/>
            <w:vAlign w:val="bottom"/>
            <w:tcBorders>
              <w:top w:val="single" w:sz="8" w:color="BECE33"/>
            </w:tcBorders>
          </w:tcPr>
          <w:p>
            <w:pPr>
              <w:spacing w:after="0"/>
              <w:rPr>
                <w:sz w:val="18"/>
                <w:szCs w:val="18"/>
                <w:color w:val="auto"/>
              </w:rPr>
            </w:pPr>
          </w:p>
        </w:tc>
        <w:tc>
          <w:tcPr>
            <w:tcW w:w="1820" w:type="dxa"/>
            <w:vAlign w:val="bottom"/>
            <w:tcBorders>
              <w:top w:val="single" w:sz="8" w:color="BECE33"/>
            </w:tcBorders>
          </w:tcPr>
          <w:p>
            <w:pPr>
              <w:spacing w:after="0"/>
              <w:rPr>
                <w:sz w:val="18"/>
                <w:szCs w:val="18"/>
                <w:color w:val="auto"/>
              </w:rPr>
            </w:pPr>
          </w:p>
        </w:tc>
        <w:tc>
          <w:tcPr>
            <w:tcW w:w="220" w:type="dxa"/>
            <w:vAlign w:val="bottom"/>
            <w:tcBorders>
              <w:top w:val="single" w:sz="8" w:color="BECE33"/>
              <w:right w:val="single" w:sz="8" w:color="BECE33"/>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8.4</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(8.4)</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(3.5)</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182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estimated fair value of non-listed equity investments would, for example, increase (decrease) if the price of the latest financing round of the respective investment were to increase (decrease) and the overall company value were higher (lower).</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20</w:t>
      </w:r>
    </w:p>
    <w:p>
      <w:pPr>
        <w:sectPr>
          <w:pgSz w:w="11900" w:h="16838" w:orient="portrait"/>
          <w:cols w:equalWidth="0" w:num="1">
            <w:col w:w="11240"/>
          </w:cols>
          <w:pgMar w:left="320" w:top="166" w:right="339" w:bottom="1440" w:gutter="0" w:footer="0" w:header="0"/>
          <w:type w:val="continuous"/>
        </w:sectPr>
      </w:pPr>
    </w:p>
    <w:bookmarkStart w:id="28" w:name="page29"/>
    <w:bookmarkEnd w:id="2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Management Activities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No changes have occurred regarding our risk management activities as disclosed in the notes to our audited consolidated financial statements included in our Annual Report on Form 20-F as of and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9. Issued Capital and Reserves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September 30, 2025, the number of shares outstanding was 240,455,450. This amount excludes 8,096,750 shares held in treasury. As of December 31, 2024, the number of shares outstanding was 239,970,804, excluding 8,581,396 shares held in treasury.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10.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0034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00" w:type="dxa"/>
            <w:vAlign w:val="bottom"/>
            <w:tcBorders>
              <w:top w:val="single" w:sz="8" w:color="BECE33"/>
            </w:tcBorders>
          </w:tcPr>
          <w:p>
            <w:pPr>
              <w:spacing w:after="0"/>
              <w:rPr>
                <w:sz w:val="19"/>
                <w:szCs w:val="19"/>
                <w:color w:val="auto"/>
              </w:rPr>
            </w:pPr>
          </w:p>
        </w:tc>
        <w:tc>
          <w:tcPr>
            <w:tcW w:w="2400" w:type="dxa"/>
            <w:vAlign w:val="bottom"/>
            <w:tcBorders>
              <w:top w:val="single" w:sz="8" w:color="BECE33"/>
              <w:right w:val="single" w:sz="8" w:color="BECE33"/>
            </w:tcBorders>
            <w:gridSpan w:val="2"/>
          </w:tcPr>
          <w:p>
            <w:pPr>
              <w:ind w:left="1000"/>
              <w:spacing w:after="0"/>
              <w:rPr>
                <w:sz w:val="20"/>
                <w:szCs w:val="20"/>
                <w:color w:val="auto"/>
              </w:rPr>
            </w:pPr>
            <w:r>
              <w:rPr>
                <w:rFonts w:ascii="Times New Roman" w:cs="Times New Roman" w:eastAsia="Times New Roman" w:hAnsi="Times New Roman"/>
                <w:sz w:val="14"/>
                <w:szCs w:val="14"/>
                <w:b w:val="1"/>
                <w:bCs w:val="1"/>
                <w:color w:val="005A64"/>
              </w:rPr>
              <w:t>September 30, 2025</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 2024</w:t>
            </w:r>
          </w:p>
        </w:tc>
      </w:tr>
      <w:tr>
        <w:trPr>
          <w:trHeight w:val="51"/>
        </w:trPr>
        <w:tc>
          <w:tcPr>
            <w:tcW w:w="584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r>
      <w:tr>
        <w:trPr>
          <w:trHeight w:val="199"/>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116.6</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85.7</w:t>
            </w:r>
          </w:p>
        </w:tc>
      </w:tr>
      <w:tr>
        <w:trPr>
          <w:trHeight w:val="50"/>
        </w:trPr>
        <w:tc>
          <w:tcPr>
            <w:tcW w:w="58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r>
      <w:tr>
        <w:trPr>
          <w:trHeight w:val="200"/>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Obligations from onerous contracts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53.9</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56.6</w:t>
            </w:r>
          </w:p>
        </w:tc>
      </w:tr>
      <w:tr>
        <w:trPr>
          <w:trHeight w:val="50"/>
        </w:trPr>
        <w:tc>
          <w:tcPr>
            <w:tcW w:w="58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r>
      <w:tr>
        <w:trPr>
          <w:trHeight w:val="200"/>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65.2</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23.4</w:t>
            </w:r>
          </w:p>
        </w:tc>
      </w:tr>
      <w:tr>
        <w:trPr>
          <w:trHeight w:val="50"/>
        </w:trPr>
        <w:tc>
          <w:tcPr>
            <w:tcW w:w="58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r>
      <w:tr>
        <w:trPr>
          <w:trHeight w:val="200"/>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235.7</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165.7</w:t>
            </w:r>
          </w:p>
        </w:tc>
      </w:tr>
      <w:tr>
        <w:trPr>
          <w:trHeight w:val="50"/>
        </w:trPr>
        <w:tc>
          <w:tcPr>
            <w:tcW w:w="584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r>
      <w:tr>
        <w:trPr>
          <w:trHeight w:val="200"/>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current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211.5</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0"/>
        </w:trPr>
        <w:tc>
          <w:tcPr>
            <w:tcW w:w="58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A8C7CA"/>
            </w:tcBorders>
          </w:tcPr>
          <w:p>
            <w:pPr>
              <w:spacing w:after="0"/>
              <w:rPr>
                <w:sz w:val="4"/>
                <w:szCs w:val="4"/>
                <w:color w:val="auto"/>
              </w:rPr>
            </w:pPr>
          </w:p>
        </w:tc>
      </w:tr>
      <w:tr>
        <w:trPr>
          <w:trHeight w:val="200"/>
        </w:trPr>
        <w:tc>
          <w:tcPr>
            <w:tcW w:w="606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non-current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24.2</w:t>
            </w:r>
          </w:p>
        </w:tc>
        <w:tc>
          <w:tcPr>
            <w:tcW w:w="10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584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300" w:type="dxa"/>
            <w:vAlign w:val="bottom"/>
            <w:tcBorders>
              <w:bottom w:val="single" w:sz="8" w:color="BECE33"/>
            </w:tcBorders>
          </w:tcPr>
          <w:p>
            <w:pPr>
              <w:spacing w:after="0"/>
              <w:rPr>
                <w:sz w:val="4"/>
                <w:szCs w:val="4"/>
                <w:color w:val="auto"/>
              </w:rPr>
            </w:pPr>
          </w:p>
        </w:tc>
        <w:tc>
          <w:tcPr>
            <w:tcW w:w="10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00" w:type="dxa"/>
            <w:vAlign w:val="bottom"/>
            <w:tcBorders>
              <w:bottom w:val="single" w:sz="8" w:color="005A64"/>
            </w:tcBorders>
          </w:tcPr>
          <w:p>
            <w:pPr>
              <w:spacing w:after="0"/>
              <w:rPr>
                <w:sz w:val="4"/>
                <w:szCs w:val="4"/>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107072"/>
        </w:rPr>
        <w:t>Certain prior period amounts have been reclassified to conform to current period presentation.</w:t>
      </w:r>
    </w:p>
    <w:p>
      <w:pPr>
        <w:spacing w:after="0" w:line="3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of September 30, 2025, our current provisions included €116.6 million in contractual disputes mainly related to collaborators regarding, among other things, the interpretation of each party’s obligations or the amounts payable under the respective agreements. The increase in obligations identified as contractual disputes compared to December 31, 2024 was mainly due to entering settlement agreements, such as the agreements with CureVac N.V. and GSK plc (see Note 4.2) and a royalty on rest-of-world sales of licensed products to CureVac N.V. and GSK plc.</w:t>
      </w:r>
    </w:p>
    <w:p>
      <w:pPr>
        <w:spacing w:after="0" w:line="200" w:lineRule="exact"/>
        <w:rPr>
          <w:sz w:val="20"/>
          <w:szCs w:val="20"/>
          <w:color w:val="auto"/>
        </w:rPr>
      </w:pPr>
    </w:p>
    <w:p>
      <w:pPr>
        <w:spacing w:after="0" w:line="29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As of September 30, 2025, our current provisions included €53.9 million (€56.6 million as of December 31, 2024) of obligations from onerous contracts, primarily relating to production capacities derived from contracts with contract manufacturing organizations, or CMOs, that became redundant. The change of €2.7 million compared to December 31, 2024 related entirely to consumption.</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As of September 30, 2025, our current provisions included €65.2 million in other obligations mainly comprising employee related obligations such as restructuring due to pipeline prioritization, social security costs related to share based payment programs as well as inventor remunerations (€23.4 million as of December 31, 2024, mainly comprising employee related obligations). The change of €41.8 million compared to December 31, 2024, related mainly to additions.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11. Contingent Liabilities</w:t>
      </w:r>
    </w:p>
    <w:p>
      <w:pPr>
        <w:spacing w:after="0" w:line="19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21</w:t>
      </w:r>
    </w:p>
    <w:p>
      <w:pPr>
        <w:sectPr>
          <w:pgSz w:w="11900" w:h="16838" w:orient="portrait"/>
          <w:cols w:equalWidth="0" w:num="1">
            <w:col w:w="11240"/>
          </w:cols>
          <w:pgMar w:left="320" w:top="166" w:right="339" w:bottom="1440" w:gutter="0" w:footer="0" w:header="0"/>
          <w:type w:val="continuous"/>
        </w:sectPr>
      </w:pPr>
    </w:p>
    <w:bookmarkStart w:id="29" w:name="page30"/>
    <w:bookmarkEnd w:id="2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From time to time, in the normal course and conduct of our business, we may be involved in proceedings with third parties, including proceedings regarding, for example, the use and/or remuneration for use of such third party’s intellectual property. As of September 30, 2025,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23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September 30, 2025, none of these claims fulfill the criteria for recording a provision.</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are currently subject to certain claims by or on behalf of our shareholders. As of September 30, 2025, these claims do not fulfill the criteria for recording a provision.</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7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22</w:t>
            </w:r>
          </w:p>
        </w:tc>
      </w:tr>
    </w:tbl>
    <w:p>
      <w:pPr>
        <w:sectPr>
          <w:pgSz w:w="11900" w:h="16838" w:orient="portrait"/>
          <w:cols w:equalWidth="0" w:num="1">
            <w:col w:w="11240"/>
          </w:cols>
          <w:pgMar w:left="320" w:top="166" w:right="339" w:bottom="1440" w:gutter="0" w:footer="0" w:header="0"/>
        </w:sectPr>
      </w:pPr>
    </w:p>
    <w:bookmarkStart w:id="30" w:name="page31"/>
    <w:bookmarkEnd w:id="3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On August 29, 2025, Alnylam, we and the Pfizer parties entered into a settlement agreement and covenant not to sue (the “Alnylam Settlement Agreement”). Pursuant to the Alnylam Settlement Agreement, Alnylam agreed not to appeal the final judgment and we and Pfizer parties agreed not to seek attorneys’ fees or costs. The parties further agreed to certain mutual releases and covenants not to sue. The case has now concluded.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00" w:lineRule="exact"/>
        <w:rPr>
          <w:sz w:val="20"/>
          <w:szCs w:val="20"/>
          <w:color w:val="auto"/>
        </w:rPr>
      </w:pPr>
    </w:p>
    <w:p>
      <w:pPr>
        <w:spacing w:after="0" w:line="2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has appealed this written decision and the appeal is pending. An oral hearing with respect to infringement of EP’668 is currently scheduled for November 6, 2025, but the parties have submitted a request to the Dusseldorf Regional Court to postpone the hearing to mid-January 2026. On July 3,</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23</w:t>
            </w:r>
          </w:p>
        </w:tc>
      </w:tr>
    </w:tbl>
    <w:p>
      <w:pPr>
        <w:sectPr>
          <w:pgSz w:w="11900" w:h="16838" w:orient="portrait"/>
          <w:cols w:equalWidth="0" w:num="1">
            <w:col w:w="11240"/>
          </w:cols>
          <w:pgMar w:left="320" w:top="166" w:right="339" w:bottom="1440" w:gutter="0" w:footer="0" w:header="0"/>
        </w:sectPr>
      </w:pPr>
    </w:p>
    <w:bookmarkStart w:id="31" w:name="page32"/>
    <w:bookmarkEnd w:id="3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2025, GlaxoSmithKline Biologicals SA filed a request seeking to intervene in the EP’668 infringement proceedings, and its request to intervene will be heard at this same hearing.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December 8, 2025. On July 24, 2024, the EPO Opposition Division issued a preliminary opinion noting that it believes EP’755 is likely invalid, and held a three-day oral hearing beginning on May 13, 2025. At the conclusion of the hearing, the EPO Opposition Division upheld EP’755 in amended form. The written decision by the Opposition Division to uphold EP’755 in amended form was issued on August 6, 2025, and we have appealed the Opposition Division’s written decision and the appeal is pending. A hearing on infringement with respect to EP’755 is currently scheduled for November 6, 2025, but the parties have submitted a request to the Dusseldorf Regional Court to postpone this hearing to mid-January 2026. On July 3, 2025, GlaxoSmithKline Biologicals SA filed a request to intervene in the EP’755 infringement proceedings, and its request to intervene will be heard at this same hearing.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24</w:t>
            </w:r>
          </w:p>
        </w:tc>
      </w:tr>
    </w:tbl>
    <w:p>
      <w:pPr>
        <w:sectPr>
          <w:pgSz w:w="11900" w:h="16838" w:orient="portrait"/>
          <w:cols w:equalWidth="0" w:num="1">
            <w:col w:w="11240"/>
          </w:cols>
          <w:pgMar w:left="320" w:top="166" w:right="339" w:bottom="1440" w:gutter="0" w:footer="0" w:header="0"/>
        </w:sectPr>
      </w:pPr>
    </w:p>
    <w:bookmarkStart w:id="32" w:name="page33"/>
    <w:bookmarkEnd w:id="3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December 8, 2025.</w:t>
      </w:r>
    </w:p>
    <w:p>
      <w:pPr>
        <w:spacing w:after="0" w:line="21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July 2022, we and Pfizer filed a complaint for a declaratory judgment in the U.S. District Court for the District of Massachusetts, seeking a judgment of non-infringement by Comirnaty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rescheduled it to begin on September 8, 2025. On July 7, 2025, GlaxoSmithKline Biologicals SA filed a motion to intervene in the litigation. On August 7, 2025, we, Pfizer and CureVac entered into a settlement agreement which, among other things, resolved the pending patent litigation among the parties in the United States, and set a framework for resolving patent litigation and allegations of patent infringement among the parties outside the United States (subject to the closing of BioNTech’s acquisition of CureVac) (see Note 4.2).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35"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25</w:t>
            </w:r>
          </w:p>
        </w:tc>
      </w:tr>
    </w:tbl>
    <w:p>
      <w:pPr>
        <w:sectPr>
          <w:pgSz w:w="11900" w:h="16838" w:orient="portrait"/>
          <w:cols w:equalWidth="0" w:num="1">
            <w:col w:w="11240"/>
          </w:cols>
          <w:pgMar w:left="320" w:top="166" w:right="339" w:bottom="1440" w:gutter="0" w:footer="0" w:header="0"/>
        </w:sectPr>
      </w:pPr>
    </w:p>
    <w:bookmarkStart w:id="33" w:name="page34"/>
    <w:bookmarkEnd w:id="3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2024, Moderna appealed the Opposition Division’s revocation decision on EP’565, and the appeal is currently pending, with an oral hearing scheduled for January 27, 2026. On September 17, 2025, the EPO Boards of Appeal issued a preliminary opinion noting that it believes EP’565 is likely invalid.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3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13" w:lineRule="exact"/>
        <w:rPr>
          <w:sz w:val="20"/>
          <w:szCs w:val="20"/>
          <w:color w:val="auto"/>
        </w:rPr>
      </w:pPr>
    </w:p>
    <w:p>
      <w:pPr>
        <w:jc w:val="both"/>
        <w:ind w:right="480"/>
        <w:spacing w:after="0" w:line="328"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 ‘949 is valid, and dismissing our appeal. We have applied for permission to appeal this decision to the UK Supreme Court.</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26</w:t>
            </w:r>
          </w:p>
        </w:tc>
      </w:tr>
    </w:tbl>
    <w:p>
      <w:pPr>
        <w:sectPr>
          <w:pgSz w:w="11900" w:h="16838" w:orient="portrait"/>
          <w:cols w:equalWidth="0" w:num="1">
            <w:col w:w="11240"/>
          </w:cols>
          <w:pgMar w:left="320" w:top="166" w:right="339" w:bottom="1440" w:gutter="0" w:footer="0" w:header="0"/>
        </w:sectPr>
      </w:pPr>
    </w:p>
    <w:bookmarkStart w:id="34" w:name="page35"/>
    <w:bookmarkEnd w:id="3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on or around December 9, 2025. The EP’565 case has been stayed pending the outcome of Moderna’s appeal of the Opposition Division’s revocation of EP’565.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27</w:t>
            </w:r>
          </w:p>
        </w:tc>
      </w:tr>
    </w:tbl>
    <w:p>
      <w:pPr>
        <w:sectPr>
          <w:pgSz w:w="11900" w:h="16838" w:orient="portrait"/>
          <w:cols w:equalWidth="0" w:num="1">
            <w:col w:w="11240"/>
          </w:cols>
          <w:pgMar w:left="320" w:top="166" w:right="339" w:bottom="1440" w:gutter="0" w:footer="0" w:header="0"/>
        </w:sectPr>
      </w:pPr>
    </w:p>
    <w:bookmarkStart w:id="35" w:name="page36"/>
    <w:bookmarkEnd w:id="3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5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28</w:t>
            </w:r>
          </w:p>
        </w:tc>
      </w:tr>
    </w:tbl>
    <w:p>
      <w:pPr>
        <w:sectPr>
          <w:pgSz w:w="11900" w:h="16838" w:orient="portrait"/>
          <w:cols w:equalWidth="0" w:num="1">
            <w:col w:w="11240"/>
          </w:cols>
          <w:pgMar w:left="320" w:top="166" w:right="339" w:bottom="1440" w:gutter="0" w:footer="0" w:header="0"/>
        </w:sectPr>
      </w:pPr>
    </w:p>
    <w:bookmarkStart w:id="36" w:name="page37"/>
    <w:bookmarkEnd w:id="3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Unified Patent Court</w:t>
      </w:r>
    </w:p>
    <w:p>
      <w:pPr>
        <w:spacing w:after="0" w:line="16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July 2025, GlaxoSmithKline Biologicals SA filed two lawsuits against BioNTech SE, BioNTech Europe GmbH, BioNTech Manufacturing GmbH, and BioNTech Manufacturing Marburg GmbH, as well as 26 Pfizer entities, in the Unified Patent Court (Hague Division). In the first lawsuit, GlaxoSmithKline Biologicals SA alleges Comirnaty’s infringement of European Patent No. 2,590,626, and in the second lawsuit, GlaxoSmithKline Biologicals SA alleges Comirnaty’s infringement of European Patent Nos. 4,066,856 and 4,226,941. This proceeding is currently pending.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September 2025, BioNTech and Pfizer filed a revocation action against GlaxoSmithKline Biologics SA in the Business and Property Courts of England and Wales, in the U.K. High Court, requesting revocation of European Patent Nos. 2,590,626, 4,066,856, and 4,226,941. On October 7, 2025, GlaxoSmithKline Biologics SA filed a defense and counterclaim for infringement against BioNTech SE and BioNTech Manufacturing GmbH, alleging Comirnaty’s infringement of European Patent Nos. 2,590,626, 4,066,856, and 4,226,941. This proceeding is currently pending.</w:t>
      </w:r>
    </w:p>
    <w:p>
      <w:pPr>
        <w:spacing w:after="0" w:line="200" w:lineRule="exact"/>
        <w:rPr>
          <w:sz w:val="20"/>
          <w:szCs w:val="20"/>
          <w:color w:val="auto"/>
        </w:rPr>
      </w:pPr>
    </w:p>
    <w:p>
      <w:pPr>
        <w:spacing w:after="0" w:line="29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Company believes it has strong defenses against the allegations claimed relative to each of the patents and intends to vigorously defend itself in the lawsuit mentioned above. However, the Company’s analysis of GSK’s claims is ongoing and complex, and the Company believes the outcome of the suit remains substantially uncertain. In light of the foregoing, as well as discussions with the Company’s outside counsel, the Company believes the probability of a loss, if any, being sustained by the Company and the estimate of the amount of any possible loss to the Company remains difficult to ascertain. As a result, the Company has determined that this matter is most appropriately accounted for as a contingency and that no accrual is warranted at this time.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36"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An oral hearing wherein the UPC will hear the parties’ arguments regarding infringement and invalidity has been scheduled for May 2026. This proceeding is currently pending.</w:t>
      </w:r>
    </w:p>
    <w:p>
      <w:pPr>
        <w:spacing w:after="0" w:line="22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29</w:t>
            </w:r>
          </w:p>
        </w:tc>
      </w:tr>
    </w:tbl>
    <w:p>
      <w:pPr>
        <w:sectPr>
          <w:pgSz w:w="11900" w:h="16838" w:orient="portrait"/>
          <w:cols w:equalWidth="0" w:num="1">
            <w:col w:w="11240"/>
          </w:cols>
          <w:pgMar w:left="320" w:top="166" w:right="339" w:bottom="1440" w:gutter="0" w:footer="0" w:header="0"/>
        </w:sectPr>
      </w:pPr>
    </w:p>
    <w:bookmarkStart w:id="37" w:name="page38"/>
    <w:bookmarkEnd w:id="3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 (the “District Court”). We applied for a motion to dismiss the class action complaint on November 18, 2024. On September 30, 2025, the District Court dismissed the operative complaint in its entirety. Plaintiffs did not file a notice of appeal to the U.S. Court of Appeals for the Second Circuit by the October 30, 2025 deadline to do so. Nor, as of the date of this disclosure, have Plaintiffs moved the District Court for leave to amend their pleading. 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In our opinion, these matters constitute contingent liabilities. However, it is currently impractical for us to estimate with sufficient reliability the respective contingent liabilities.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12. Related Party Disclosures</w:t>
      </w:r>
    </w:p>
    <w:p>
      <w:pPr>
        <w:spacing w:after="0" w:line="20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200" w:lineRule="exact"/>
        <w:rPr>
          <w:sz w:val="20"/>
          <w:szCs w:val="20"/>
          <w:color w:val="auto"/>
        </w:rPr>
      </w:pPr>
    </w:p>
    <w:p>
      <w:pPr>
        <w:spacing w:after="0" w:line="30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13. Events after the Reporting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Public Exchange Offer for All Outstanding Shares of CureVac N.V.</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On October 22, 2025, we announced that we commenced our public exchange offer for all outstanding shares of CureVac N.V. The offer is being made pursuant to the previously announced purchase agreement between us and CureVac, dated as of June 12, 2025.</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Under the terms of the purchase agreement, each CureVac share will be exchanged for approximately $5.46 in our ADSs, resulting in an implied aggregate equity value for CureVac of approximately $1.25 billion (subject to the adjustments described below). The consideration is subject to a collar mechanism, such that if the 10-day volume weighted average price, or VWAP, of a BioNTech ADS ending on, and including, the fifth business day prior to the closing of the offer is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30</w:t>
            </w:r>
          </w:p>
        </w:tc>
      </w:tr>
    </w:tbl>
    <w:p>
      <w:pPr>
        <w:sectPr>
          <w:pgSz w:w="11900" w:h="16838" w:orient="portrait"/>
          <w:cols w:equalWidth="0" w:num="1">
            <w:col w:w="11240"/>
          </w:cols>
          <w:pgMar w:left="320" w:top="166" w:right="339" w:bottom="1440" w:gutter="0" w:footer="0" w:header="0"/>
        </w:sectPr>
      </w:pPr>
    </w:p>
    <w:bookmarkStart w:id="38" w:name="page39"/>
    <w:bookmarkEnd w:id="3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greater than or equal to $126.55, each CureVac share will be exchanged for 0.04318 of a BioNTech ADS, and if the VWAP is less than or equal to $84.37, the exchange ratio will be 0.06476 of a BioNTech ADS.</w:t>
      </w:r>
    </w:p>
    <w:p>
      <w:pPr>
        <w:spacing w:after="0" w:line="217"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The offer will expire at 9:00 a.m. (New York City time) on December 3, 2025, unless extended or terminated earlier, in each case in accordance with the terms of the purchase agreement. The offer is subject to various conditions, including at least 80% of CureVac’s shares (threshold may be reduced to 75% unilaterally by us under certain circumstances) being tendered into the offer and accepted for payment and the receipt of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31</w:t>
            </w:r>
          </w:p>
        </w:tc>
      </w:tr>
    </w:tbl>
    <w:p>
      <w:pPr>
        <w:sectPr>
          <w:pgSz w:w="11900" w:h="16838" w:orient="portrait"/>
          <w:cols w:equalWidth="0" w:num="1">
            <w:col w:w="11220"/>
          </w:cols>
          <w:pgMar w:left="320" w:top="167" w:right="359" w:bottom="1440" w:gutter="0" w:footer="0" w:header="0"/>
        </w:sectPr>
      </w:pPr>
    </w:p>
    <w:bookmarkStart w:id="39" w:name="page40"/>
    <w:bookmarkEnd w:id="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and nine months ended September 30, 2025.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Operating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65"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aims to position us as pioneers in the field of individualized, patient-centric therapeutic approaches in oncology and infectious diseases.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32</w:t>
            </w:r>
          </w:p>
        </w:tc>
      </w:tr>
    </w:tbl>
    <w:p>
      <w:pPr>
        <w:sectPr>
          <w:pgSz w:w="11900" w:h="16838" w:orient="portrait"/>
          <w:cols w:equalWidth="0" w:num="1">
            <w:col w:w="11240"/>
          </w:cols>
          <w:pgMar w:left="320" w:top="167" w:right="339" w:bottom="1440" w:gutter="0" w:footer="0" w:header="0"/>
        </w:sectPr>
      </w:pPr>
    </w:p>
    <w:bookmarkStart w:id="40" w:name="page41"/>
    <w:bookmarkEnd w:id="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Our approach has generated a robust and diversified product candidate pipeline across a range of technologies in oncology and infectious disease, and has led to the approval of our first marketed product,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Environmental, Social, and Governance (ESG)</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BioNTech was founded out of a responsibility to patients and to society and this is still the vision that drives the Company. It gives grounds for BioNTech’s enhanced responsibility: for translating the Company’s science into the health of people worldwide and contributing to equitable access to innovative medicines, for environmental and climate protection, for respecting human rights and for fostering the full potential of all employees. BioNTech recognizes its responsibility as a corporate citizen and is committed to supporting its local communities and beyond through donations, sponsorships and volunteer activities.</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BioNTech’s performance on environmental, social, and governance matters is regularly assessed by external rating agencies. BioNTech retained its “Prime” status from ISS ESG in the assessment for 2024, placing BioNTech in the top 10% of all companies rated in the Pharmaceuticals and Biotechnology sector. In addition, BioNTech improved its overall rating from a B- to a B in the overall Corporate Rating 2024 on a scale from D- (lowest rating) to A+ (highest rating) compared to the previous assessment. ISS has extended its ESG Quality Score in 2024 to include the two categories “Social” and “Environment”. BioNTech currently achieves a score of 2 in the category “Environment” and of 1 in the category “Social”. These scores indicate a company’s transparency with a focus on social and environmental matters on a scale from 1 (high disclosure) to 10 (low disclosure). Furthermore, BioNTech received a score of 5 in the "Governance” dimension of the ISS Quality Score on a risk scale ranging from 1 (low risk) to 10 (high risk).</w:t>
      </w:r>
      <w:r>
        <w:rPr>
          <w:rFonts w:ascii="Times New Roman" w:cs="Times New Roman" w:eastAsia="Times New Roman" w:hAnsi="Times New Roman"/>
          <w:sz w:val="23"/>
          <w:szCs w:val="23"/>
          <w:color w:val="080509"/>
          <w:vertAlign w:val="superscript"/>
        </w:rPr>
        <w:t>1</w:t>
      </w:r>
    </w:p>
    <w:p>
      <w:pPr>
        <w:spacing w:after="0" w:line="200" w:lineRule="exact"/>
        <w:rPr>
          <w:sz w:val="20"/>
          <w:szCs w:val="20"/>
          <w:color w:val="auto"/>
        </w:rPr>
      </w:pPr>
    </w:p>
    <w:p>
      <w:pPr>
        <w:spacing w:after="0" w:line="24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080509"/>
        </w:rPr>
        <w:t>BioNTech was included in the S&amp;P Global Sustainability Yearbook 2025 for the first time. Out of 7,690 companies assessed by S&amp;P, only 780 companies across 62 industries were selected for inclusion in the Sustainability Yearbook 2025. To be listed in this Yearbook, companies must score within the top 15% of their industry and must achieve a S&amp;P Corporate Sustainability Assessment (CSA), within 30% of their industry’s top-performing company. BioNTech received 51 out of 100 possible points in the 2025 S&amp;P CSA</w:t>
      </w:r>
      <w:r>
        <w:rPr>
          <w:rFonts w:ascii="Times New Roman" w:cs="Times New Roman" w:eastAsia="Times New Roman" w:hAnsi="Times New Roman"/>
          <w:sz w:val="23"/>
          <w:szCs w:val="23"/>
          <w:color w:val="080509"/>
          <w:vertAlign w:val="superscript"/>
        </w:rPr>
        <w:t>2</w:t>
      </w:r>
      <w:r>
        <w:rPr>
          <w:rFonts w:ascii="Times New Roman" w:cs="Times New Roman" w:eastAsia="Times New Roman" w:hAnsi="Times New Roman"/>
          <w:sz w:val="18"/>
          <w:szCs w:val="18"/>
          <w:color w:val="080509"/>
        </w:rPr>
        <w:t xml:space="preserve"> (2024: 52/100; 2023: 45/100 points; 2022: 32/100 points). Since 2022, BioNTech has been actively engaging in the comprehensive S&amp;P CSA rating process and has been listed as a participating company.</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color w:val="080509"/>
        </w:rPr>
        <w:t>BioNTech received an ESG Risk Rating of 21.4</w:t>
      </w:r>
      <w:r>
        <w:rPr>
          <w:rFonts w:ascii="Times New Roman" w:cs="Times New Roman" w:eastAsia="Times New Roman" w:hAnsi="Times New Roman"/>
          <w:sz w:val="23"/>
          <w:szCs w:val="23"/>
          <w:color w:val="080509"/>
          <w:vertAlign w:val="superscript"/>
        </w:rPr>
        <w:t>3</w:t>
      </w:r>
      <w:r>
        <w:rPr>
          <w:rFonts w:ascii="Times New Roman" w:cs="Times New Roman" w:eastAsia="Times New Roman" w:hAnsi="Times New Roman"/>
          <w:sz w:val="18"/>
          <w:szCs w:val="18"/>
          <w:color w:val="080509"/>
        </w:rPr>
        <w:t xml:space="preserve"> by the rating agency Morningstar Sustainalytics and was assessed to be at medium risk of experiencing material financial impacts from ESG factors. This corresponds to a risk in the third of five risk levels (negligible, low, medium, high and severe). The rating measures the extent to which the economic value of a company is at risk due to ESG factors. Sustainalytics uses absolute risk categories and quantitative scores from 0 to 40+ to provide a comparable assessment for all rated companies and industries.</w:t>
      </w:r>
    </w:p>
    <w:p>
      <w:pPr>
        <w:spacing w:after="0" w:line="25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BioNTech’s Corporate Sustainability &amp; Responsibility, or CSR, Management, including the fields of action is presented in detail in the separate 2024 Sustainability Report and made available online at www.biontech.com. More information about BioNTech’s performance in selected ESG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2631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Numbers for Quality Scores “Environment”, “Social” as of August 31, 2025 and “Governance” dimension as of June 18, 2025.</w:t>
      </w:r>
    </w:p>
    <w:p>
      <w:pPr>
        <w:spacing w:after="0" w:line="63" w:lineRule="exact"/>
        <w:rPr>
          <w:rFonts w:ascii="Times New Roman" w:cs="Times New Roman" w:eastAsia="Times New Roman" w:hAnsi="Times New Roman"/>
          <w:sz w:val="18"/>
          <w:szCs w:val="18"/>
          <w:color w:val="107072"/>
          <w:vertAlign w:val="superscript"/>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Results were released on July 30, 2025.</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last update of the score was conducted by September 23, 2025; the full rating update was conducted by May 29, 2025.</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33</w:t>
            </w:r>
          </w:p>
        </w:tc>
      </w:tr>
    </w:tbl>
    <w:p>
      <w:pPr>
        <w:sectPr>
          <w:pgSz w:w="11900" w:h="16838" w:orient="portrait"/>
          <w:cols w:equalWidth="0" w:num="1">
            <w:col w:w="11240"/>
          </w:cols>
          <w:pgMar w:left="320" w:top="167" w:right="339" w:bottom="1440" w:gutter="0" w:footer="0" w:header="0"/>
        </w:sectPr>
      </w:pPr>
    </w:p>
    <w:bookmarkStart w:id="41" w:name="page42"/>
    <w:bookmarkEnd w:id="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BioNTech’s Human Rights Statement as well as further relevant information and material can also be found on the Company’s website.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Marketed Product: Comirnaty, our COVID-19 Vaccine Program (BNT162)</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 xml:space="preserve">COVID-19 vaccination has played an important role in saving lives and livelihoods across the world. Our commercial product, developed in 2020,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was the first-ever approved mRNA-based product, and, to our knowledge, remains the fastest ever developed prophylactic vaccine from viral sampling to approval. As of March 2025, our COVID-19 vaccine products have been authorized or approved for emergency or temporary use or granted marketing authorization in more than 180 countries and regions worldwide. Our efforts have resulted in 5 billion doses shipped globally.</w:t>
      </w:r>
    </w:p>
    <w:p>
      <w:pPr>
        <w:spacing w:after="0" w:line="200" w:lineRule="exact"/>
        <w:rPr>
          <w:sz w:val="20"/>
          <w:szCs w:val="20"/>
          <w:color w:val="auto"/>
        </w:rPr>
      </w:pPr>
    </w:p>
    <w:p>
      <w:pPr>
        <w:spacing w:after="0" w:line="29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Comirnaty in Germany and Türkiye.</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Under our collaboration with Fosun Pharmaceutical Industrial Development, Co., Ltd, or Fosun Pharma, Fosun Pharma has marketing and distribution rights in Mainland China, Hong Kong Special Administrative Region, or SAR, Macau SAR and Taiwan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Commercial Updates</w:t>
      </w:r>
    </w:p>
    <w:p>
      <w:pPr>
        <w:spacing w:after="0" w:line="16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the third quarter of 2025, we conducted the required preparation activities for COVID-19 vaccine adaptation and for the commercial launch of SARS-CoV-2 variant-adapted vaccines for the 2025/2026 vaccination season.</w:t>
      </w:r>
    </w:p>
    <w:p>
      <w:pPr>
        <w:spacing w:after="0" w:line="21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We expect that as SARS-CoV-2 continues to evolve, and the risk of severe COVID-19 disease and deaths persists, there will be continued demand for primary and seasonal vaccinations, especially for at-risk and immunocompromised populations. Studies have demonstrated that natural immunity acquired by SARS-CoV-2 infection is variable across individuals and wanes over time due to viral escape mutations and decreasing antibody titers. The risk of severe COVID-19 disease remains high in vulnerable populations. Vaccination not only reduces the risk of severe COVID-19 but may also mitigate the risk of health impairments related to long COVID. Given this, and our current understanding of COVID-19’s burden on healthcare systems during the fall and winter season, along with its observed peaks at other times of the year, we anticipate the need for annual adapted vaccines to be a long-term component of COVID-19 vaccination practices.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Clinical Development, Regulatory and Manufacturing Updates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While JN.1 and KP.2 variant-adapted vaccines provided some protection against a range of outcomes from JN.1-lineage related COVID-19 disease, evidence suggests that vaccines better matched to currently circulating SARS-CoV-2 sublineages may provide improved protection against symptomatic and severe COVID-19 disease.</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May 2025, the WHO, EMA and FDA each issued recommendations to update the antigenic composition of authorized COVID-19 vaccines for the 2025-2026 vaccination season. The WHO</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34</w:t>
            </w:r>
          </w:p>
        </w:tc>
      </w:tr>
    </w:tbl>
    <w:p>
      <w:pPr>
        <w:sectPr>
          <w:pgSz w:w="11900" w:h="16838" w:orient="portrait"/>
          <w:cols w:equalWidth="0" w:num="1">
            <w:col w:w="11240"/>
          </w:cols>
          <w:pgMar w:left="320" w:top="167" w:right="339" w:bottom="1440" w:gutter="0" w:footer="0" w:header="0"/>
        </w:sectPr>
      </w:pPr>
    </w:p>
    <w:bookmarkStart w:id="42" w:name="page43"/>
    <w:bookmarkEnd w:id="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advised manufacturers that monovalent JN.1 or KP.2 vaccines remain appropriate vaccine antigens and that monovalent LP.8.1 is a suitable alternative vaccine antigen. EMA recommended that marketing authorization holders adapt vaccines to target the LP.8.1 variant of the JN.1 family of Omicron subvariants, and vaccines targeting JN.1 or KP.2 strains could be considered for the vaccination campaigns in 2025 until the updated LP.8.1 vaccines become available. The FDA advised manufacturers that COVID-19 vaccines for use in the United States in the fall of 2025 should be a monovalent JN.1-lineage-based composition, preferentially targeting the LP.8.1 strain.</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July 2025, the EMA’s Committee for Medicinal Products for Human Use, or CHMP, recommended marketing authorization for the companies’ LP.8.1-adapted monovalent COVID-19 vaccine. In August 2025, following authorization by the European Commission (EC), the new variant-adapted COVID-19 vaccine was made available for shipment to applicable EU member states.</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August 2025, the FDA approved the supplemental Biologics License Application for our and Pfizer’s LP.8.1-adapted monovalent COVID-19 vaccine for use in adults ages 65 years and older, as well as in individuals ages 5 through 64 years with at least one underlying condition that puts them at high risk for severe outcomes from COVID-19. The new variant-adapted COVID-19 vaccine was shipped promptly following approval and was made available in pharmacies, hospitals, and clinics across the United States.</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Ahead of the 2025-2026 COVID-19 vaccination season, we initiated a Phase 3 (NCT07069309) study to investigate the safety, tolerability, and immunogenicity of our LP.8.1-adapted COVID-19 vaccine in adults 65 and older and adults aged 18 through 64 with at least one underlying risk condition for severe COVID-19. In September 2025, we announced positive topline results from the Phase 3 trial. The preliminary data show a robust increase in neutralizing antibodies targeting the LP.8.1 sublineage of SARS-CoV-2 following vaccination. The safety profile of the vaccine was consistent with previous studies, with no new safety concerns identified.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Pipeline of Product Candidates: Third Quarter of 2025 and Post Period-End Updates</w:t>
      </w:r>
    </w:p>
    <w:p>
      <w:pPr>
        <w:spacing w:after="0" w:line="17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Below is a summary of active clinical trials evaluating our authorized product and clinical product candidates, organized by platform and indication.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Oncology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mRNA Cancer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9"/>
          <w:szCs w:val="9"/>
          <w:b w:val="1"/>
          <w:bCs w:val="1"/>
          <w:color w:val="107072"/>
        </w:rPr>
        <w:t>Product candidate</w:t>
      </w:r>
    </w:p>
    <w:tbl>
      <w:tblPr>
        <w:tblLayout w:type="fixed"/>
        <w:tblInd w:w="120" w:type="dxa"/>
        <w:tblCellMar>
          <w:top w:w="0" w:type="dxa"/>
          <w:left w:w="0" w:type="dxa"/>
          <w:bottom w:w="0" w:type="dxa"/>
          <w:right w:w="0" w:type="dxa"/>
        </w:tblCellMar>
      </w:tblPr>
      <w:tr>
        <w:trPr>
          <w:trHeight w:val="12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Platform</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920" w:type="dxa"/>
            <w:vAlign w:val="bottom"/>
            <w:tcBorders>
              <w:top w:val="single" w:sz="8" w:color="005A64"/>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top w:val="single" w:sz="8" w:color="005A64"/>
            </w:tcBorders>
          </w:tcPr>
          <w:p>
            <w:pPr>
              <w:ind w:left="20"/>
              <w:spacing w:after="0"/>
              <w:rPr>
                <w:sz w:val="20"/>
                <w:szCs w:val="20"/>
                <w:color w:val="auto"/>
              </w:rPr>
            </w:pPr>
            <w:r>
              <w:rPr>
                <w:rFonts w:ascii="Times New Roman" w:cs="Times New Roman" w:eastAsia="Times New Roman" w:hAnsi="Times New Roman"/>
                <w:sz w:val="9"/>
                <w:szCs w:val="9"/>
                <w:color w:val="005A64"/>
              </w:rPr>
              <w:t>BNT111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8C7CA"/>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FixVac</w:t>
            </w:r>
          </w:p>
        </w:tc>
        <w:tc>
          <w:tcPr>
            <w:tcW w:w="122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BNT113</w:t>
            </w:r>
          </w:p>
        </w:tc>
        <w:tc>
          <w:tcPr>
            <w:tcW w:w="0" w:type="dxa"/>
            <w:vAlign w:val="bottom"/>
          </w:tcPr>
          <w:p>
            <w:pPr>
              <w:spacing w:after="0"/>
              <w:rPr>
                <w:sz w:val="1"/>
                <w:szCs w:val="1"/>
                <w:color w:val="auto"/>
              </w:rPr>
            </w:pPr>
          </w:p>
        </w:tc>
      </w:tr>
      <w:tr>
        <w:trPr>
          <w:trHeight w:val="62"/>
        </w:trPr>
        <w:tc>
          <w:tcPr>
            <w:tcW w:w="1040" w:type="dxa"/>
            <w:vAlign w:val="bottom"/>
            <w:gridSpan w:val="2"/>
            <w:vMerge w:val="continue"/>
          </w:tcPr>
          <w:p>
            <w:pPr>
              <w:spacing w:after="0"/>
              <w:rPr>
                <w:sz w:val="5"/>
                <w:szCs w:val="5"/>
                <w:color w:val="auto"/>
              </w:rPr>
            </w:pPr>
          </w:p>
        </w:tc>
        <w:tc>
          <w:tcPr>
            <w:tcW w:w="122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0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BNT116</w:t>
            </w:r>
          </w:p>
        </w:tc>
        <w:tc>
          <w:tcPr>
            <w:tcW w:w="0" w:type="dxa"/>
            <w:vAlign w:val="bottom"/>
          </w:tcPr>
          <w:p>
            <w:pPr>
              <w:spacing w:after="0"/>
              <w:rPr>
                <w:sz w:val="1"/>
                <w:szCs w:val="1"/>
                <w:color w:val="auto"/>
              </w:rPr>
            </w:pPr>
          </w:p>
        </w:tc>
      </w:tr>
      <w:tr>
        <w:trPr>
          <w:trHeight w:val="285"/>
        </w:trPr>
        <w:tc>
          <w:tcPr>
            <w:tcW w:w="920" w:type="dxa"/>
            <w:vAlign w:val="bottom"/>
            <w:tcBorders>
              <w:bottom w:val="single" w:sz="8" w:color="DBDBDB"/>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iNeST</w:t>
            </w:r>
          </w:p>
        </w:tc>
        <w:tc>
          <w:tcPr>
            <w:tcW w:w="122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Autogene cevumeran</w:t>
            </w:r>
          </w:p>
        </w:tc>
        <w:tc>
          <w:tcPr>
            <w:tcW w:w="0" w:type="dxa"/>
            <w:vAlign w:val="bottom"/>
          </w:tcPr>
          <w:p>
            <w:pPr>
              <w:spacing w:after="0"/>
              <w:rPr>
                <w:sz w:val="1"/>
                <w:szCs w:val="1"/>
                <w:color w:val="auto"/>
              </w:rPr>
            </w:pPr>
          </w:p>
        </w:tc>
      </w:tr>
      <w:tr>
        <w:trPr>
          <w:trHeight w:val="121"/>
        </w:trPr>
        <w:tc>
          <w:tcPr>
            <w:tcW w:w="1040" w:type="dxa"/>
            <w:vAlign w:val="bottom"/>
            <w:gridSpan w:val="2"/>
            <w:vMerge w:val="continue"/>
          </w:tcPr>
          <w:p>
            <w:pPr>
              <w:spacing w:after="0"/>
              <w:rPr>
                <w:sz w:val="10"/>
                <w:szCs w:val="1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(BNT122 / RO719845)</w:t>
            </w:r>
          </w:p>
        </w:tc>
        <w:tc>
          <w:tcPr>
            <w:tcW w:w="0" w:type="dxa"/>
            <w:vAlign w:val="bottom"/>
          </w:tcPr>
          <w:p>
            <w:pPr>
              <w:spacing w:after="0"/>
              <w:rPr>
                <w:sz w:val="1"/>
                <w:szCs w:val="1"/>
                <w:color w:val="auto"/>
              </w:rPr>
            </w:pPr>
          </w:p>
        </w:tc>
      </w:tr>
      <w:tr>
        <w:trPr>
          <w:trHeight w:val="285"/>
        </w:trPr>
        <w:tc>
          <w:tcPr>
            <w:tcW w:w="920" w:type="dxa"/>
            <w:vAlign w:val="bottom"/>
            <w:tcBorders>
              <w:bottom w:val="single" w:sz="8" w:color="005A64"/>
            </w:tcBorders>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Borders>
              <w:bottom w:val="single" w:sz="8" w:color="005A64"/>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6515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43"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9"/>
          <w:szCs w:val="9"/>
          <w:color w:val="005A64"/>
        </w:rPr>
        <w:t>NY-ESO-1, MAGE-A3, tyrosinase, TPTE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6515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005A64"/>
        </w:rPr>
        <w:t>E6,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6515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6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9"/>
          <w:szCs w:val="9"/>
          <w:color w:val="005A64"/>
        </w:rPr>
        <w:t>MAGE-A3, CLDN6, KK-LC-1, PRAME, MAGE-A4, MAGE-C1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97155</wp:posOffset>
            </wp:positionV>
            <wp:extent cx="6515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005A64"/>
        </w:rPr>
        <w:t>Patient-specific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005A64"/>
        </w:rPr>
        <w:t>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163195</wp:posOffset>
            </wp:positionV>
            <wp:extent cx="6515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860" w:type="dxa"/>
            <w:vAlign w:val="bottom"/>
            <w:tcBorders>
              <w:top w:val="single" w:sz="8" w:color="ECECEC"/>
            </w:tcBorders>
            <w:gridSpan w:val="2"/>
          </w:tcPr>
          <w:p>
            <w:pPr>
              <w:spacing w:after="0"/>
              <w:rPr>
                <w:sz w:val="11"/>
                <w:szCs w:val="11"/>
                <w:color w:val="auto"/>
              </w:rPr>
            </w:pPr>
          </w:p>
        </w:tc>
        <w:tc>
          <w:tcPr>
            <w:tcW w:w="7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72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740" w:type="dxa"/>
            <w:vAlign w:val="bottom"/>
            <w:tcBorders>
              <w:top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60" w:type="dxa"/>
            <w:vAlign w:val="bottom"/>
            <w:tcBorders>
              <w:top w:val="single" w:sz="8" w:color="ECECEC"/>
              <w:right w:val="single" w:sz="8" w:color="ECECEC"/>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129"/>
        </w:trPr>
        <w:tc>
          <w:tcPr>
            <w:tcW w:w="2160" w:type="dxa"/>
            <w:vAlign w:val="bottom"/>
            <w:tcBorders>
              <w:bottom w:val="single" w:sz="8" w:color="005A64"/>
            </w:tcBorders>
          </w:tcPr>
          <w:p>
            <w:pPr>
              <w:spacing w:after="0"/>
              <w:rPr>
                <w:sz w:val="11"/>
                <w:szCs w:val="11"/>
                <w:color w:val="auto"/>
              </w:rPr>
            </w:pPr>
          </w:p>
        </w:tc>
        <w:tc>
          <w:tcPr>
            <w:tcW w:w="140" w:type="dxa"/>
            <w:vAlign w:val="bottom"/>
            <w:tcBorders>
              <w:right w:val="single" w:sz="8" w:color="ECECEC"/>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005A64"/>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Advanced, R/R melanoma</w:t>
            </w:r>
          </w:p>
        </w:tc>
        <w:tc>
          <w:tcPr>
            <w:tcW w:w="140" w:type="dxa"/>
            <w:vAlign w:val="bottom"/>
          </w:tcPr>
          <w:p>
            <w:pPr>
              <w:spacing w:after="0"/>
              <w:rPr>
                <w:sz w:val="24"/>
                <w:szCs w:val="24"/>
                <w:color w:val="auto"/>
              </w:rPr>
            </w:pPr>
          </w:p>
        </w:tc>
        <w:tc>
          <w:tcPr>
            <w:tcW w:w="720" w:type="dxa"/>
            <w:vAlign w:val="bottom"/>
            <w:tcBorders>
              <w:bottom w:val="single" w:sz="8" w:color="ECECEC"/>
            </w:tcBorders>
          </w:tcPr>
          <w:p>
            <w:pPr>
              <w:spacing w:after="0"/>
              <w:rPr>
                <w:sz w:val="24"/>
                <w:szCs w:val="24"/>
                <w:color w:val="auto"/>
              </w:rPr>
            </w:pPr>
          </w:p>
        </w:tc>
        <w:tc>
          <w:tcPr>
            <w:tcW w:w="740" w:type="dxa"/>
            <w:vAlign w:val="bottom"/>
            <w:tcBorders>
              <w:bottom w:val="single" w:sz="8" w:color="BCDBCF"/>
            </w:tcBorders>
          </w:tcPr>
          <w:p>
            <w:pPr>
              <w:spacing w:after="0"/>
              <w:rPr>
                <w:sz w:val="24"/>
                <w:szCs w:val="24"/>
                <w:color w:val="auto"/>
              </w:rPr>
            </w:pPr>
          </w:p>
        </w:tc>
        <w:tc>
          <w:tcPr>
            <w:tcW w:w="720" w:type="dxa"/>
            <w:vAlign w:val="bottom"/>
            <w:tcBorders>
              <w:bottom w:val="single" w:sz="8" w:color="7CB9A1"/>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right w:val="single" w:sz="8" w:color="ECECEC"/>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60" w:type="dxa"/>
            <w:vAlign w:val="bottom"/>
            <w:tcBorders>
              <w:bottom w:val="single" w:sz="8" w:color="A8C7CA"/>
            </w:tcBorders>
          </w:tcPr>
          <w:p>
            <w:pPr>
              <w:spacing w:after="0"/>
              <w:rPr>
                <w:sz w:val="22"/>
                <w:szCs w:val="22"/>
                <w:color w:val="auto"/>
              </w:rPr>
            </w:pPr>
          </w:p>
        </w:tc>
        <w:tc>
          <w:tcPr>
            <w:tcW w:w="140" w:type="dxa"/>
            <w:vAlign w:val="bottom"/>
            <w:tcBorders>
              <w:right w:val="single" w:sz="8" w:color="ECECEC"/>
            </w:tcBorders>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Borders>
              <w:right w:val="single" w:sz="8" w:color="ECECEC"/>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HPV16+ PDL1+ head and neck cancer </w:t>
            </w:r>
            <w:r>
              <w:rPr>
                <w:rFonts w:ascii="Times New Roman" w:cs="Times New Roman" w:eastAsia="Times New Roman" w:hAnsi="Times New Roman"/>
                <w:sz w:val="11"/>
                <w:szCs w:val="11"/>
                <w:color w:val="005A64"/>
                <w:vertAlign w:val="superscript"/>
              </w:rPr>
              <w:t>(5)</w:t>
            </w:r>
          </w:p>
        </w:tc>
        <w:tc>
          <w:tcPr>
            <w:tcW w:w="140" w:type="dxa"/>
            <w:vAlign w:val="bottom"/>
            <w:vMerge w:val="restart"/>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r>
              <w:rPr>
                <w:rFonts w:ascii="Times New Roman" w:cs="Times New Roman" w:eastAsia="Times New Roman" w:hAnsi="Times New Roman"/>
                <w:sz w:val="11"/>
                <w:szCs w:val="11"/>
                <w:color w:val="005A64"/>
                <w:vertAlign w:val="superscript"/>
              </w:rPr>
              <w:t>(2)</w:t>
            </w: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300" w:type="dxa"/>
            <w:vAlign w:val="bottom"/>
            <w:tcBorders>
              <w:right w:val="single" w:sz="8" w:color="ECECEC"/>
            </w:tcBorders>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720" w:type="dxa"/>
            <w:vAlign w:val="bottom"/>
            <w:shd w:val="clear" w:color="auto" w:fill="ECECEC"/>
          </w:tcPr>
          <w:p>
            <w:pPr>
              <w:spacing w:after="0"/>
              <w:rPr>
                <w:sz w:val="5"/>
                <w:szCs w:val="5"/>
                <w:color w:val="auto"/>
              </w:rPr>
            </w:pPr>
          </w:p>
        </w:tc>
        <w:tc>
          <w:tcPr>
            <w:tcW w:w="740" w:type="dxa"/>
            <w:vAlign w:val="bottom"/>
            <w:shd w:val="clear" w:color="auto" w:fill="BCDBCF"/>
          </w:tcPr>
          <w:p>
            <w:pPr>
              <w:spacing w:after="0"/>
              <w:rPr>
                <w:sz w:val="5"/>
                <w:szCs w:val="5"/>
                <w:color w:val="auto"/>
              </w:rPr>
            </w:pPr>
          </w:p>
        </w:tc>
        <w:tc>
          <w:tcPr>
            <w:tcW w:w="72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80" w:type="dxa"/>
            <w:vAlign w:val="bottom"/>
            <w:shd w:val="clear" w:color="auto" w:fill="3C9673"/>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1L metastatic NSCLC</w:t>
            </w:r>
          </w:p>
        </w:tc>
        <w:tc>
          <w:tcPr>
            <w:tcW w:w="140" w:type="dxa"/>
            <w:vAlign w:val="bottom"/>
          </w:tcPr>
          <w:p>
            <w:pPr>
              <w:spacing w:after="0"/>
              <w:rPr>
                <w:sz w:val="14"/>
                <w:szCs w:val="14"/>
                <w:color w:val="auto"/>
              </w:rPr>
            </w:pPr>
          </w:p>
        </w:tc>
        <w:tc>
          <w:tcPr>
            <w:tcW w:w="720" w:type="dxa"/>
            <w:vAlign w:val="bottom"/>
            <w:tcBorders>
              <w:bottom w:val="single" w:sz="8" w:color="ECECEC"/>
            </w:tcBorders>
          </w:tcPr>
          <w:p>
            <w:pPr>
              <w:spacing w:after="0"/>
              <w:rPr>
                <w:sz w:val="14"/>
                <w:szCs w:val="14"/>
                <w:color w:val="auto"/>
              </w:rPr>
            </w:pPr>
          </w:p>
        </w:tc>
        <w:tc>
          <w:tcPr>
            <w:tcW w:w="740" w:type="dxa"/>
            <w:vAlign w:val="bottom"/>
            <w:tcBorders>
              <w:bottom w:val="single" w:sz="8" w:color="BCDBCF"/>
            </w:tcBorders>
          </w:tcPr>
          <w:p>
            <w:pPr>
              <w:spacing w:after="0"/>
              <w:rPr>
                <w:sz w:val="14"/>
                <w:szCs w:val="14"/>
                <w:color w:val="auto"/>
              </w:rPr>
            </w:pPr>
          </w:p>
        </w:tc>
        <w:tc>
          <w:tcPr>
            <w:tcW w:w="720" w:type="dxa"/>
            <w:vAlign w:val="bottom"/>
            <w:tcBorders>
              <w:bottom w:val="single" w:sz="8" w:color="7CB9A1"/>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right w:val="single" w:sz="8" w:color="ECECEC"/>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Borders>
              <w:bottom w:val="single" w:sz="8" w:color="A8C7CA"/>
            </w:tcBorders>
          </w:tcPr>
          <w:p>
            <w:pPr>
              <w:spacing w:after="0"/>
              <w:rPr>
                <w:sz w:val="12"/>
                <w:szCs w:val="12"/>
                <w:color w:val="auto"/>
              </w:rPr>
            </w:pPr>
          </w:p>
        </w:tc>
        <w:tc>
          <w:tcPr>
            <w:tcW w:w="140" w:type="dxa"/>
            <w:vAlign w:val="bottom"/>
            <w:tcBorders>
              <w:right w:val="single" w:sz="8" w:color="ECECEC"/>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ECECEC"/>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00" w:type="dxa"/>
            <w:vAlign w:val="bottom"/>
            <w:tcBorders>
              <w:right w:val="single" w:sz="8" w:color="ECECEC"/>
            </w:tcBorders>
            <w:gridSpan w:val="2"/>
          </w:tcPr>
          <w:p>
            <w:pPr>
              <w:ind w:left="40"/>
              <w:spacing w:after="0"/>
              <w:rPr>
                <w:sz w:val="20"/>
                <w:szCs w:val="20"/>
                <w:color w:val="auto"/>
              </w:rPr>
            </w:pPr>
            <w:r>
              <w:rPr>
                <w:rFonts w:ascii="Times New Roman" w:cs="Times New Roman" w:eastAsia="Times New Roman" w:hAnsi="Times New Roman"/>
                <w:sz w:val="9"/>
                <w:szCs w:val="9"/>
                <w:color w:val="005A64"/>
              </w:rPr>
              <w:t>NSCLC</w:t>
            </w:r>
          </w:p>
        </w:tc>
        <w:tc>
          <w:tcPr>
            <w:tcW w:w="140" w:type="dxa"/>
            <w:vAlign w:val="bottom"/>
          </w:tcPr>
          <w:p>
            <w:pPr>
              <w:spacing w:after="0"/>
              <w:rPr>
                <w:sz w:val="14"/>
                <w:szCs w:val="14"/>
                <w:color w:val="auto"/>
              </w:rPr>
            </w:pPr>
          </w:p>
        </w:tc>
        <w:tc>
          <w:tcPr>
            <w:tcW w:w="720" w:type="dxa"/>
            <w:vAlign w:val="bottom"/>
            <w:tcBorders>
              <w:bottom w:val="single" w:sz="8" w:color="ECECEC"/>
            </w:tcBorders>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right w:val="single" w:sz="8" w:color="ECECEC"/>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Borders>
              <w:bottom w:val="single" w:sz="8" w:color="A8C7CA"/>
            </w:tcBorders>
          </w:tcPr>
          <w:p>
            <w:pPr>
              <w:spacing w:after="0"/>
              <w:rPr>
                <w:sz w:val="12"/>
                <w:szCs w:val="12"/>
                <w:color w:val="auto"/>
              </w:rPr>
            </w:pPr>
          </w:p>
        </w:tc>
        <w:tc>
          <w:tcPr>
            <w:tcW w:w="140" w:type="dxa"/>
            <w:vAlign w:val="bottom"/>
            <w:tcBorders>
              <w:right w:val="single" w:sz="8" w:color="ECECEC"/>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right w:val="single" w:sz="8" w:color="ECECEC"/>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B6B6B6"/>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Adjuvant colorectal cancer</w:t>
            </w:r>
          </w:p>
        </w:tc>
        <w:tc>
          <w:tcPr>
            <w:tcW w:w="140" w:type="dxa"/>
            <w:vAlign w:val="bottom"/>
            <w:vMerge w:val="restart"/>
          </w:tcPr>
          <w:p>
            <w:pPr>
              <w:spacing w:after="0"/>
              <w:rPr>
                <w:sz w:val="9"/>
                <w:szCs w:val="9"/>
                <w:color w:val="auto"/>
              </w:rPr>
            </w:pPr>
          </w:p>
        </w:tc>
        <w:tc>
          <w:tcPr>
            <w:tcW w:w="720" w:type="dxa"/>
            <w:vAlign w:val="bottom"/>
            <w:tcBorders>
              <w:bottom w:val="single" w:sz="8" w:color="ECECEC"/>
            </w:tcBorders>
          </w:tcPr>
          <w:p>
            <w:pPr>
              <w:spacing w:after="0"/>
              <w:rPr>
                <w:sz w:val="9"/>
                <w:szCs w:val="9"/>
                <w:color w:val="auto"/>
              </w:rPr>
            </w:pPr>
          </w:p>
        </w:tc>
        <w:tc>
          <w:tcPr>
            <w:tcW w:w="740" w:type="dxa"/>
            <w:vAlign w:val="bottom"/>
            <w:tcBorders>
              <w:bottom w:val="single" w:sz="8" w:color="BCDBCF"/>
            </w:tcBorders>
          </w:tcPr>
          <w:p>
            <w:pPr>
              <w:spacing w:after="0"/>
              <w:rPr>
                <w:sz w:val="9"/>
                <w:szCs w:val="9"/>
                <w:color w:val="auto"/>
              </w:rPr>
            </w:pPr>
          </w:p>
        </w:tc>
        <w:tc>
          <w:tcPr>
            <w:tcW w:w="720" w:type="dxa"/>
            <w:vAlign w:val="bottom"/>
            <w:tcBorders>
              <w:bottom w:val="single" w:sz="8" w:color="7CB9A1"/>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Genentech</w:t>
            </w:r>
            <w:r>
              <w:rPr>
                <w:rFonts w:ascii="Times New Roman" w:cs="Times New Roman" w:eastAsia="Times New Roman" w:hAnsi="Times New Roman"/>
                <w:sz w:val="11"/>
                <w:szCs w:val="11"/>
                <w:color w:val="005A64"/>
                <w:vertAlign w:val="superscript"/>
              </w:rPr>
              <w:t>(3)</w:t>
            </w:r>
          </w:p>
        </w:tc>
        <w:tc>
          <w:tcPr>
            <w:tcW w:w="0" w:type="dxa"/>
            <w:vAlign w:val="bottom"/>
          </w:tcPr>
          <w:p>
            <w:pPr>
              <w:spacing w:after="0"/>
              <w:rPr>
                <w:sz w:val="1"/>
                <w:szCs w:val="1"/>
                <w:color w:val="auto"/>
              </w:rPr>
            </w:pPr>
          </w:p>
        </w:tc>
      </w:tr>
      <w:tr>
        <w:trPr>
          <w:trHeight w:val="40"/>
        </w:trPr>
        <w:tc>
          <w:tcPr>
            <w:tcW w:w="2300" w:type="dxa"/>
            <w:vAlign w:val="bottom"/>
            <w:tcBorders>
              <w:right w:val="single" w:sz="8" w:color="ECECEC"/>
            </w:tcBorders>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2160" w:type="dxa"/>
            <w:vAlign w:val="bottom"/>
            <w:tcBorders>
              <w:bottom w:val="single" w:sz="8" w:color="A8C7CA"/>
            </w:tcBorders>
          </w:tcPr>
          <w:p>
            <w:pPr>
              <w:spacing w:after="0"/>
              <w:rPr>
                <w:sz w:val="4"/>
                <w:szCs w:val="4"/>
                <w:color w:val="auto"/>
              </w:rPr>
            </w:pPr>
          </w:p>
        </w:tc>
        <w:tc>
          <w:tcPr>
            <w:tcW w:w="140" w:type="dxa"/>
            <w:vAlign w:val="bottom"/>
            <w:tcBorders>
              <w:right w:val="single" w:sz="8" w:color="ECECEC"/>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9"/>
                <w:szCs w:val="9"/>
                <w:color w:val="005A64"/>
              </w:rPr>
              <w:t>Adjuvant muscle-invasive urothelial carcinoma</w:t>
            </w:r>
          </w:p>
        </w:tc>
        <w:tc>
          <w:tcPr>
            <w:tcW w:w="140" w:type="dxa"/>
            <w:vAlign w:val="bottom"/>
            <w:tcBorders>
              <w:right w:val="single" w:sz="8" w:color="ECECEC"/>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ECECEC"/>
            </w:tcBorders>
          </w:tcPr>
          <w:p>
            <w:pPr>
              <w:spacing w:after="0"/>
              <w:rPr>
                <w:sz w:val="19"/>
                <w:szCs w:val="19"/>
                <w:color w:val="auto"/>
              </w:rPr>
            </w:pPr>
          </w:p>
        </w:tc>
        <w:tc>
          <w:tcPr>
            <w:tcW w:w="740" w:type="dxa"/>
            <w:vAlign w:val="bottom"/>
            <w:tcBorders>
              <w:bottom w:val="single" w:sz="8" w:color="BCDBCF"/>
            </w:tcBorders>
          </w:tcPr>
          <w:p>
            <w:pPr>
              <w:spacing w:after="0"/>
              <w:rPr>
                <w:sz w:val="19"/>
                <w:szCs w:val="19"/>
                <w:color w:val="auto"/>
              </w:rPr>
            </w:pPr>
          </w:p>
        </w:tc>
        <w:tc>
          <w:tcPr>
            <w:tcW w:w="720" w:type="dxa"/>
            <w:vAlign w:val="bottom"/>
            <w:tcBorders>
              <w:bottom w:val="single" w:sz="8" w:color="7CB9A1"/>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Adjuvant pancreatic ductal adenocarcinoma</w:t>
            </w:r>
          </w:p>
        </w:tc>
        <w:tc>
          <w:tcPr>
            <w:tcW w:w="140" w:type="dxa"/>
            <w:vAlign w:val="bottom"/>
            <w:vMerge w:val="restart"/>
          </w:tcPr>
          <w:p>
            <w:pPr>
              <w:spacing w:after="0"/>
              <w:rPr>
                <w:sz w:val="9"/>
                <w:szCs w:val="9"/>
                <w:color w:val="auto"/>
              </w:rPr>
            </w:pPr>
          </w:p>
        </w:tc>
        <w:tc>
          <w:tcPr>
            <w:tcW w:w="720" w:type="dxa"/>
            <w:vAlign w:val="bottom"/>
            <w:tcBorders>
              <w:bottom w:val="single" w:sz="8" w:color="ECECEC"/>
            </w:tcBorders>
          </w:tcPr>
          <w:p>
            <w:pPr>
              <w:spacing w:after="0"/>
              <w:rPr>
                <w:sz w:val="9"/>
                <w:szCs w:val="9"/>
                <w:color w:val="auto"/>
              </w:rPr>
            </w:pPr>
          </w:p>
        </w:tc>
        <w:tc>
          <w:tcPr>
            <w:tcW w:w="740" w:type="dxa"/>
            <w:vAlign w:val="bottom"/>
            <w:tcBorders>
              <w:bottom w:val="single" w:sz="8" w:color="BCDBCF"/>
            </w:tcBorders>
          </w:tcPr>
          <w:p>
            <w:pPr>
              <w:spacing w:after="0"/>
              <w:rPr>
                <w:sz w:val="9"/>
                <w:szCs w:val="9"/>
                <w:color w:val="auto"/>
              </w:rPr>
            </w:pPr>
          </w:p>
        </w:tc>
        <w:tc>
          <w:tcPr>
            <w:tcW w:w="720" w:type="dxa"/>
            <w:vAlign w:val="bottom"/>
            <w:tcBorders>
              <w:bottom w:val="single" w:sz="8" w:color="7CB9A1"/>
            </w:tcBorders>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26948B"/>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300" w:type="dxa"/>
            <w:vAlign w:val="bottom"/>
            <w:tcBorders>
              <w:right w:val="single" w:sz="8" w:color="ECECEC"/>
            </w:tcBorders>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right w:val="single" w:sz="8" w:color="26948B"/>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2160" w:type="dxa"/>
            <w:vAlign w:val="bottom"/>
            <w:tcBorders>
              <w:bottom w:val="single" w:sz="8" w:color="005A64"/>
            </w:tcBorders>
          </w:tcPr>
          <w:p>
            <w:pPr>
              <w:spacing w:after="0"/>
              <w:rPr>
                <w:sz w:val="4"/>
                <w:szCs w:val="4"/>
                <w:color w:val="auto"/>
              </w:rPr>
            </w:pPr>
          </w:p>
        </w:tc>
        <w:tc>
          <w:tcPr>
            <w:tcW w:w="140" w:type="dxa"/>
            <w:vAlign w:val="bottom"/>
            <w:tcBorders>
              <w:right w:val="single" w:sz="8" w:color="ECECEC"/>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right w:val="single" w:sz="8" w:color="26948B"/>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40" w:type="dxa"/>
            <w:vAlign w:val="bottom"/>
            <w:tcBorders>
              <w:right w:val="single" w:sz="8" w:color="ECECEC"/>
            </w:tcBorders>
          </w:tcPr>
          <w:p>
            <w:pPr>
              <w:spacing w:after="0"/>
              <w:rPr>
                <w:sz w:val="7"/>
                <w:szCs w:val="7"/>
                <w:color w:val="auto"/>
              </w:rPr>
            </w:pPr>
          </w:p>
        </w:tc>
        <w:tc>
          <w:tcPr>
            <w:tcW w:w="1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7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Borders>
              <w:bottom w:val="single" w:sz="8" w:color="26948B"/>
            </w:tcBorders>
          </w:tcPr>
          <w:p>
            <w:pPr>
              <w:spacing w:after="0"/>
              <w:rPr>
                <w:sz w:val="7"/>
                <w:szCs w:val="7"/>
                <w:color w:val="auto"/>
              </w:rPr>
            </w:pPr>
          </w:p>
        </w:tc>
        <w:tc>
          <w:tcPr>
            <w:tcW w:w="160" w:type="dxa"/>
            <w:vAlign w:val="bottom"/>
            <w:tcBorders>
              <w:bottom w:val="single" w:sz="8" w:color="26948B"/>
              <w:right w:val="single" w:sz="8" w:color="26948B"/>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2380" w:space="100"/>
            <w:col w:w="980" w:space="160"/>
            <w:col w:w="7620"/>
          </w:cols>
          <w:pgMar w:left="320" w:top="167" w:right="339" w:bottom="1440" w:gutter="0" w:footer="0" w:header="0"/>
          <w:type w:val="continuous"/>
        </w:sect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35</w:t>
            </w:r>
          </w:p>
        </w:tc>
      </w:tr>
    </w:tbl>
    <w:p>
      <w:pPr>
        <w:sectPr>
          <w:pgSz w:w="11900" w:h="16838" w:orient="portrait"/>
          <w:cols w:equalWidth="0" w:num="1">
            <w:col w:w="11240"/>
          </w:cols>
          <w:pgMar w:left="320" w:top="167" w:right="339" w:bottom="1440" w:gutter="0" w:footer="0" w:header="0"/>
          <w:type w:val="continuous"/>
        </w:sectPr>
      </w:pPr>
    </w:p>
    <w:bookmarkStart w:id="43" w:name="page44"/>
    <w:bookmarkEnd w:id="43"/>
    <w:p>
      <w:pPr>
        <w:spacing w:after="0" w:line="181" w:lineRule="auto"/>
        <w:framePr w:w="220" w:h="52" w:wrap="auto" w:vAnchor="page" w:hAnchor="page" w:x="4520" w:y="3206"/>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t>(4, 6)</w:t>
      </w:r>
    </w:p>
    <w:p>
      <w:pPr>
        <w:spacing w:after="0" w:line="181" w:lineRule="auto"/>
        <w:framePr w:w="220" w:h="52" w:wrap="auto" w:vAnchor="page" w:hAnchor="page" w:x="4520" w:y="2666"/>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t>(4, 6)</w:t>
      </w:r>
    </w:p>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346" w:lineRule="exact"/>
        <w:rPr>
          <w:rFonts w:ascii="Times New Roman" w:cs="Times New Roman" w:eastAsia="Times New Roman" w:hAnsi="Times New Roman"/>
          <w:sz w:val="6"/>
          <w:szCs w:val="6"/>
          <w:color w:val="005A64"/>
        </w:rPr>
      </w:pPr>
    </w:p>
    <w:p>
      <w:pPr>
        <w:spacing w:after="0"/>
        <w:rPr>
          <w:sz w:val="20"/>
          <w:szCs w:val="20"/>
          <w:color w:val="auto"/>
        </w:rPr>
      </w:pPr>
      <w:r>
        <w:rPr>
          <w:rFonts w:ascii="Times New Roman" w:cs="Times New Roman" w:eastAsia="Times New Roman" w:hAnsi="Times New Roman"/>
          <w:sz w:val="18"/>
          <w:szCs w:val="18"/>
          <w:color w:val="005A64"/>
        </w:rPr>
        <w:t>Next-generation Immunomodulators</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6231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191" w:lineRule="exact"/>
        <w:rPr>
          <w:rFonts w:ascii="Times New Roman" w:cs="Times New Roman" w:eastAsia="Times New Roman" w:hAnsi="Times New Roman"/>
          <w:sz w:val="6"/>
          <w:szCs w:val="6"/>
          <w:color w:val="005A64"/>
        </w:rPr>
      </w:pPr>
    </w:p>
    <w:tbl>
      <w:tblPr>
        <w:tblLayout w:type="fixed"/>
        <w:tblInd w:w="120" w:type="dxa"/>
        <w:tblCellMar>
          <w:top w:w="0" w:type="dxa"/>
          <w:left w:w="0" w:type="dxa"/>
          <w:bottom w:w="0" w:type="dxa"/>
          <w:right w:w="0" w:type="dxa"/>
        </w:tblCellMar>
      </w:tblPr>
      <w:tr>
        <w:trPr>
          <w:trHeight w:val="126"/>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Combination candidate</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Target</w:t>
            </w:r>
          </w:p>
        </w:tc>
        <w:tc>
          <w:tcPr>
            <w:tcW w:w="2200" w:type="dxa"/>
            <w:vAlign w:val="bottom"/>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0" w:type="dxa"/>
            <w:vAlign w:val="bottom"/>
          </w:tcPr>
          <w:p>
            <w:pPr>
              <w:spacing w:after="0"/>
              <w:rPr>
                <w:sz w:val="1"/>
                <w:szCs w:val="1"/>
                <w:color w:val="auto"/>
              </w:rPr>
            </w:pPr>
          </w:p>
        </w:tc>
      </w:tr>
      <w:tr>
        <w:trPr>
          <w:trHeight w:val="128"/>
        </w:trPr>
        <w:tc>
          <w:tcPr>
            <w:tcW w:w="122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00" w:type="dxa"/>
            <w:vAlign w:val="bottom"/>
          </w:tcPr>
          <w:p>
            <w:pPr>
              <w:spacing w:after="0"/>
              <w:rPr>
                <w:sz w:val="11"/>
                <w:szCs w:val="11"/>
                <w:color w:val="auto"/>
              </w:rPr>
            </w:pPr>
          </w:p>
        </w:tc>
        <w:tc>
          <w:tcPr>
            <w:tcW w:w="102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005A64"/>
            </w:tcBorders>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Borders>
              <w:bottom w:val="single" w:sz="8" w:color="005A64"/>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80" w:type="dxa"/>
            <w:vAlign w:val="bottom"/>
            <w:tcBorders>
              <w:bottom w:val="single" w:sz="8" w:color="1F5122"/>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1F5122"/>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bl>
    <w:p>
      <w:pPr>
        <w:spacing w:after="0" w:line="31"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1L ES-SCLC</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77470</wp:posOffset>
            </wp:positionV>
            <wp:extent cx="1388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7"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1L ES-SCLC</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77470</wp:posOffset>
            </wp:positionV>
            <wp:extent cx="13887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7"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1/2L+ ES-SCLC</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77470</wp:posOffset>
            </wp:positionV>
            <wp:extent cx="13887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7"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2L ES-SCLC</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77470</wp:posOffset>
            </wp:positionV>
            <wp:extent cx="13887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47"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 xml:space="preserve">2L SCLC </w:t>
      </w:r>
      <w:r>
        <w:rPr>
          <w:rFonts w:ascii="Times New Roman" w:cs="Times New Roman" w:eastAsia="Times New Roman" w:hAnsi="Times New Roman"/>
          <w:sz w:val="11"/>
          <w:szCs w:val="11"/>
          <w:color w:val="005A64"/>
          <w:vertAlign w:val="superscript"/>
        </w:rPr>
        <w:t>(4)</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62865</wp:posOffset>
            </wp:positionV>
            <wp:extent cx="13887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24" w:lineRule="exact"/>
        <w:rPr>
          <w:rFonts w:ascii="Times New Roman" w:cs="Times New Roman" w:eastAsia="Times New Roman" w:hAnsi="Times New Roman"/>
          <w:sz w:val="6"/>
          <w:szCs w:val="6"/>
          <w:color w:val="005A64"/>
        </w:rPr>
      </w:pPr>
    </w:p>
    <w:p>
      <w:pPr>
        <w:ind w:left="3720"/>
        <w:spacing w:after="0"/>
        <w:rPr>
          <w:sz w:val="20"/>
          <w:szCs w:val="20"/>
          <w:color w:val="auto"/>
        </w:rPr>
      </w:pPr>
      <w:r>
        <w:rPr>
          <w:rFonts w:ascii="Times New Roman" w:cs="Times New Roman" w:eastAsia="Times New Roman" w:hAnsi="Times New Roman"/>
          <w:sz w:val="9"/>
          <w:szCs w:val="9"/>
          <w:color w:val="005A64"/>
        </w:rPr>
        <w:t xml:space="preserve">1L NSCLC </w:t>
      </w:r>
      <w:r>
        <w:rPr>
          <w:rFonts w:ascii="Times New Roman" w:cs="Times New Roman" w:eastAsia="Times New Roman" w:hAnsi="Times New Roman"/>
          <w:sz w:val="11"/>
          <w:szCs w:val="11"/>
          <w:color w:val="005A64"/>
          <w:vertAlign w:val="superscript"/>
        </w:rPr>
        <w:t>(5)</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2353945</wp:posOffset>
            </wp:positionH>
            <wp:positionV relativeFrom="paragraph">
              <wp:posOffset>62865</wp:posOffset>
            </wp:positionV>
            <wp:extent cx="13887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24" w:lineRule="exact"/>
        <w:rPr>
          <w:rFonts w:ascii="Times New Roman" w:cs="Times New Roman" w:eastAsia="Times New Roman" w:hAnsi="Times New Roman"/>
          <w:sz w:val="6"/>
          <w:szCs w:val="6"/>
          <w:color w:val="005A64"/>
        </w:rPr>
      </w:pPr>
    </w:p>
    <w:tbl>
      <w:tblPr>
        <w:tblLayout w:type="fixed"/>
        <w:tblInd w:w="120" w:type="dxa"/>
        <w:tblCellMar>
          <w:top w:w="0" w:type="dxa"/>
          <w:left w:w="0" w:type="dxa"/>
          <w:bottom w:w="0" w:type="dxa"/>
          <w:right w:w="0" w:type="dxa"/>
        </w:tblCellMar>
      </w:tblPr>
      <w:tr>
        <w:trPr>
          <w:trHeight w:val="50"/>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2L advanced/metastatic NSCLC</w:t>
            </w: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005A64"/>
              </w:rPr>
              <w:t>PD-L1 x VEGF-A</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2L+ EGFRm NSCLC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Bristol Myers Squibb</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advanced/metastatic TNBC </w:t>
            </w:r>
            <w:r>
              <w:rPr>
                <w:rFonts w:ascii="Times New Roman" w:cs="Times New Roman" w:eastAsia="Times New Roman" w:hAnsi="Times New Roman"/>
                <w:sz w:val="11"/>
                <w:szCs w:val="11"/>
                <w:color w:val="005A64"/>
                <w:vertAlign w:val="superscript"/>
              </w:rPr>
              <w:t>(4)</w:t>
            </w: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advanced/metastatic TNBC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1L/2L advanced/metastatic TNBC</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metastatic colorectal cancer </w:t>
            </w:r>
            <w:r>
              <w:rPr>
                <w:rFonts w:ascii="Times New Roman" w:cs="Times New Roman" w:eastAsia="Times New Roman" w:hAnsi="Times New Roman"/>
                <w:sz w:val="11"/>
                <w:szCs w:val="11"/>
                <w:color w:val="005A64"/>
                <w:vertAlign w:val="superscript"/>
              </w:rPr>
              <w:t>(4)</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DBDBDB"/>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b w:val="1"/>
                <w:bCs w:val="1"/>
                <w:color w:val="005A64"/>
              </w:rPr>
              <w:t>Pumitamig</w:t>
            </w: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malignant pleural mesothelioma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hepatocellular carcinoma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b w:val="1"/>
                <w:bCs w:val="1"/>
                <w:color w:val="005A64"/>
              </w:rPr>
              <w:t>(BNT327/BMS986545)</w:t>
            </w: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Borders>
              <w:bottom w:val="single" w:sz="8" w:color="A8C7CA"/>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2L neuroendocrine neoplasms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Multiple solid tumors </w:t>
            </w:r>
            <w:r>
              <w:rPr>
                <w:rFonts w:ascii="Times New Roman" w:cs="Times New Roman" w:eastAsia="Times New Roman" w:hAnsi="Times New Roman"/>
                <w:sz w:val="11"/>
                <w:szCs w:val="11"/>
                <w:color w:val="005A64"/>
                <w:vertAlign w:val="superscript"/>
              </w:rPr>
              <w:t>(4, 6)</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DBDBDB"/>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DBDBDB"/>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BNT314 / GEN1059</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EpCAM×4-1BB</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 xml:space="preserve">Metastatic colorectal cancer </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Genmab</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DBDBDB"/>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BNT3212</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EGFR x HER3</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Borders>
              <w:bottom w:val="single" w:sz="8" w:color="DBDBDB"/>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A8C7CA"/>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005A64"/>
              </w:rPr>
              <w:t>BNT3213</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005A64"/>
              </w:rPr>
              <w:t>TIGIT x PVRIG</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 xml:space="preserve">1L hepatocellular carcinoma </w:t>
            </w:r>
            <w:r>
              <w:rPr>
                <w:rFonts w:ascii="Times New Roman" w:cs="Times New Roman" w:eastAsia="Times New Roman" w:hAnsi="Times New Roman"/>
                <w:sz w:val="11"/>
                <w:szCs w:val="11"/>
                <w:color w:val="005A64"/>
                <w:vertAlign w:val="superscript"/>
              </w:rPr>
              <w:t>(4, 6)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Trastuzumab pamirtecan</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HER2</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Advanced/metastatic breast cancer</w:t>
            </w:r>
            <w:r>
              <w:rPr>
                <w:rFonts w:ascii="Times New Roman" w:cs="Times New Roman" w:eastAsia="Times New Roman" w:hAnsi="Times New Roman"/>
                <w:sz w:val="11"/>
                <w:szCs w:val="11"/>
                <w:color w:val="005A64"/>
                <w:vertAlign w:val="superscript"/>
              </w:rPr>
              <w:t>(6)</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(BNT323 / DB-1303)</w:t>
            </w:r>
          </w:p>
        </w:tc>
        <w:tc>
          <w:tcPr>
            <w:tcW w:w="114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8C7CA"/>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DBDBDB"/>
            </w:tcBorders>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Borders>
              <w:bottom w:val="single" w:sz="8" w:color="A8C7CA"/>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BNT324 / DB-1311</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B7-H3</w:t>
            </w: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 xml:space="preserve">Multiple solid tumors </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Borders>
              <w:bottom w:val="single" w:sz="8" w:color="7CB9A1"/>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rPr>
                <w:sz w:val="1"/>
                <w:szCs w:val="1"/>
                <w:color w:val="auto"/>
              </w:rPr>
            </w:pPr>
          </w:p>
        </w:tc>
      </w:tr>
      <w:tr>
        <w:trPr>
          <w:trHeight w:val="66"/>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0" w:type="dxa"/>
            <w:vAlign w:val="bottom"/>
            <w:tcBorders>
              <w:bottom w:val="single" w:sz="8" w:color="A8C7CA"/>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9"/>
                <w:szCs w:val="9"/>
                <w:color w:val="005A64"/>
              </w:rPr>
              <w:t>Advanced/metastatic NSCLC and SCLC</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BNT325 / DB-1305</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TROP2</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 xml:space="preserve">Multiple solid tumors </w:t>
            </w:r>
            <w:r>
              <w:rPr>
                <w:rFonts w:ascii="Times New Roman" w:cs="Times New Roman" w:eastAsia="Times New Roman" w:hAnsi="Times New Roman"/>
                <w:sz w:val="11"/>
                <w:szCs w:val="11"/>
                <w:color w:val="005A64"/>
                <w:vertAlign w:val="superscript"/>
              </w:rPr>
              <w:t>(6)</w:t>
            </w:r>
          </w:p>
        </w:tc>
        <w:tc>
          <w:tcPr>
            <w:tcW w:w="700" w:type="dxa"/>
            <w:vAlign w:val="bottom"/>
            <w:tcBorders>
              <w:bottom w:val="single" w:sz="8" w:color="ECECEC"/>
            </w:tcBorders>
          </w:tcPr>
          <w:p>
            <w:pPr>
              <w:spacing w:after="0"/>
              <w:rPr>
                <w:sz w:val="14"/>
                <w:szCs w:val="14"/>
                <w:color w:val="auto"/>
              </w:rPr>
            </w:pPr>
          </w:p>
        </w:tc>
        <w:tc>
          <w:tcPr>
            <w:tcW w:w="700" w:type="dxa"/>
            <w:vAlign w:val="bottom"/>
            <w:tcBorders>
              <w:bottom w:val="single" w:sz="8" w:color="BCDBCF"/>
            </w:tcBorders>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DBDBDB"/>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DBDBDB"/>
            </w:tcBorders>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DBDBDB"/>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BNT326 / YL202</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HER3</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Advanced NSCLC</w:t>
            </w:r>
          </w:p>
        </w:tc>
        <w:tc>
          <w:tcPr>
            <w:tcW w:w="700" w:type="dxa"/>
            <w:vAlign w:val="bottom"/>
            <w:tcBorders>
              <w:bottom w:val="single" w:sz="8" w:color="ECECEC"/>
            </w:tcBorders>
          </w:tcPr>
          <w:p>
            <w:pPr>
              <w:spacing w:after="0"/>
              <w:rPr>
                <w:sz w:val="14"/>
                <w:szCs w:val="14"/>
                <w:color w:val="auto"/>
              </w:rPr>
            </w:pPr>
          </w:p>
        </w:tc>
        <w:tc>
          <w:tcPr>
            <w:tcW w:w="700" w:type="dxa"/>
            <w:vAlign w:val="bottom"/>
            <w:tcBorders>
              <w:bottom w:val="single" w:sz="8" w:color="BCDBCF"/>
            </w:tcBorders>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MediLink Therapeutics</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60" w:type="dxa"/>
            <w:vAlign w:val="bottom"/>
            <w:gridSpan w:val="2"/>
            <w:vMerge w:val="continue"/>
          </w:tcPr>
          <w:p>
            <w:pPr>
              <w:spacing w:after="0"/>
              <w:rPr>
                <w:sz w:val="10"/>
                <w:szCs w:val="10"/>
                <w:color w:val="auto"/>
              </w:rPr>
            </w:pP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9"/>
        </w:trPr>
        <w:tc>
          <w:tcPr>
            <w:tcW w:w="1320" w:type="dxa"/>
            <w:vAlign w:val="bottom"/>
            <w:gridSpan w:val="2"/>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DBDBDB"/>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DBDBDB"/>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9"/>
                <w:szCs w:val="9"/>
                <w:color w:val="005A64"/>
              </w:rPr>
              <w:t>BNT312 / GEN1042</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CD40×4-1BB</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Borders>
              <w:bottom w:val="single" w:sz="8" w:color="ECECEC"/>
            </w:tcBorders>
          </w:tcPr>
          <w:p>
            <w:pPr>
              <w:spacing w:after="0"/>
              <w:rPr>
                <w:sz w:val="10"/>
                <w:szCs w:val="10"/>
                <w:color w:val="auto"/>
              </w:rPr>
            </w:pPr>
          </w:p>
        </w:tc>
        <w:tc>
          <w:tcPr>
            <w:tcW w:w="700" w:type="dxa"/>
            <w:vAlign w:val="bottom"/>
            <w:tcBorders>
              <w:bottom w:val="single" w:sz="8" w:color="BCDBCF"/>
            </w:tcBorders>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Genmab</w:t>
            </w:r>
          </w:p>
        </w:tc>
        <w:tc>
          <w:tcPr>
            <w:tcW w:w="0" w:type="dxa"/>
            <w:vAlign w:val="bottom"/>
          </w:tcPr>
          <w:p>
            <w:pPr>
              <w:spacing w:after="0"/>
              <w:rPr>
                <w:sz w:val="1"/>
                <w:szCs w:val="1"/>
                <w:color w:val="auto"/>
              </w:rPr>
            </w:pPr>
          </w:p>
        </w:tc>
      </w:tr>
      <w:tr>
        <w:trPr>
          <w:trHeight w:val="108"/>
        </w:trPr>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DBDBDB"/>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9"/>
                <w:szCs w:val="9"/>
                <w:color w:val="005A64"/>
              </w:rPr>
              <w:t>BNT314 / GEN1059</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EpCAM×4-1BB</w:t>
            </w: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Borders>
              <w:bottom w:val="single" w:sz="8" w:color="ECECEC"/>
            </w:tcBorders>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aPD(L)1-R/R metastatic NSCLC</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color w:val="005A64"/>
              </w:rPr>
              <w:t>Gotistobart (BNT316 / ONC-</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CTLA-4</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Platinum-resistant ovarian cancer</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OncoC4</w:t>
            </w:r>
          </w:p>
        </w:tc>
        <w:tc>
          <w:tcPr>
            <w:tcW w:w="0" w:type="dxa"/>
            <w:vAlign w:val="bottom"/>
          </w:tcPr>
          <w:p>
            <w:pPr>
              <w:spacing w:after="0"/>
              <w:rPr>
                <w:sz w:val="1"/>
                <w:szCs w:val="1"/>
                <w:color w:val="auto"/>
              </w:rPr>
            </w:pPr>
          </w:p>
        </w:tc>
      </w:tr>
      <w:tr>
        <w:trPr>
          <w:trHeight w:val="68"/>
        </w:trPr>
        <w:tc>
          <w:tcPr>
            <w:tcW w:w="2440" w:type="dxa"/>
            <w:vAlign w:val="bottom"/>
            <w:gridSpan w:val="4"/>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shd w:val="clear" w:color="auto" w:fill="7CB9A1"/>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440" w:type="dxa"/>
            <w:vAlign w:val="bottom"/>
            <w:gridSpan w:val="4"/>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392)</w:t>
            </w: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0" w:type="dxa"/>
            <w:vAlign w:val="bottom"/>
            <w:tcBorders>
              <w:bottom w:val="single" w:sz="8" w:color="A8C7CA"/>
            </w:tcBorders>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Metastatic castration-resistant prostate cancer</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700" w:type="dxa"/>
            <w:vAlign w:val="bottom"/>
            <w:shd w:val="clear" w:color="auto" w:fill="ECECEC"/>
          </w:tcPr>
          <w:p>
            <w:pPr>
              <w:spacing w:after="0"/>
              <w:rPr>
                <w:sz w:val="5"/>
                <w:szCs w:val="5"/>
                <w:color w:val="auto"/>
              </w:rPr>
            </w:pPr>
          </w:p>
        </w:tc>
        <w:tc>
          <w:tcPr>
            <w:tcW w:w="700" w:type="dxa"/>
            <w:vAlign w:val="bottom"/>
            <w:shd w:val="clear" w:color="auto" w:fill="BCDBCF"/>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ECECEC"/>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200" w:type="dxa"/>
            <w:vAlign w:val="bottom"/>
            <w:tcBorders>
              <w:bottom w:val="single" w:sz="8" w:color="A8C7CA"/>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9"/>
                <w:szCs w:val="9"/>
                <w:color w:val="005A64"/>
              </w:rPr>
              <w:t>BNT317</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undisclosed</w:t>
            </w: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right w:val="single" w:sz="8" w:color="26948B"/>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440" w:type="dxa"/>
            <w:vAlign w:val="bottom"/>
            <w:gridSpan w:val="4"/>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460" w:type="dxa"/>
            <w:vAlign w:val="bottom"/>
            <w:gridSpan w:val="2"/>
            <w:vMerge w:val="continue"/>
          </w:tcPr>
          <w:p>
            <w:pPr>
              <w:spacing w:after="0"/>
              <w:rPr>
                <w:sz w:val="8"/>
                <w:szCs w:val="8"/>
                <w:color w:val="auto"/>
              </w:rPr>
            </w:pPr>
          </w:p>
        </w:tc>
        <w:tc>
          <w:tcPr>
            <w:tcW w:w="700" w:type="dxa"/>
            <w:vAlign w:val="bottom"/>
            <w:shd w:val="clear" w:color="auto" w:fill="ECECEC"/>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right w:val="single" w:sz="8" w:color="26948B"/>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26948B"/>
            </w:tcBorders>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22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200" w:type="dxa"/>
            <w:vAlign w:val="bottom"/>
            <w:tcBorders>
              <w:bottom w:val="single" w:sz="8" w:color="005A64"/>
            </w:tcBorders>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Borders>
              <w:right w:val="single" w:sz="8" w:color="26948B"/>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005A64"/>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bottom w:val="single" w:sz="8" w:color="26948B"/>
            </w:tcBorders>
          </w:tcPr>
          <w:p>
            <w:pPr>
              <w:spacing w:after="0"/>
              <w:rPr>
                <w:sz w:val="5"/>
                <w:szCs w:val="5"/>
                <w:color w:val="auto"/>
              </w:rPr>
            </w:pPr>
          </w:p>
        </w:tc>
        <w:tc>
          <w:tcPr>
            <w:tcW w:w="160" w:type="dxa"/>
            <w:vAlign w:val="bottom"/>
            <w:tcBorders>
              <w:bottom w:val="single" w:sz="8" w:color="26948B"/>
              <w:right w:val="single" w:sz="8" w:color="26948B"/>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rFonts w:ascii="Times New Roman" w:cs="Times New Roman" w:eastAsia="Times New Roman" w:hAnsi="Times New Roman"/>
          <w:sz w:val="6"/>
          <w:szCs w:val="6"/>
          <w:color w:val="005A64"/>
        </w:rPr>
      </w:pPr>
    </w:p>
    <w:p>
      <w:pPr>
        <w:spacing w:after="0"/>
        <w:rPr>
          <w:sz w:val="20"/>
          <w:szCs w:val="20"/>
          <w:color w:val="auto"/>
        </w:rPr>
      </w:pPr>
      <w:r>
        <w:rPr>
          <w:rFonts w:ascii="Times New Roman" w:cs="Times New Roman" w:eastAsia="Times New Roman" w:hAnsi="Times New Roman"/>
          <w:sz w:val="18"/>
          <w:szCs w:val="18"/>
          <w:color w:val="005A64"/>
        </w:rPr>
        <w:t>Targeted Therapies</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7" w:right="339" w:bottom="90" w:gutter="0" w:footer="0" w:header="0"/>
        </w:sectPr>
      </w:pPr>
    </w:p>
    <w:p>
      <w:pPr>
        <w:spacing w:after="0" w:line="327" w:lineRule="exact"/>
        <w:rPr>
          <w:rFonts w:ascii="Times New Roman" w:cs="Times New Roman" w:eastAsia="Times New Roman" w:hAnsi="Times New Roman"/>
          <w:sz w:val="6"/>
          <w:szCs w:val="6"/>
          <w:color w:val="005A64"/>
        </w:rPr>
      </w:pPr>
    </w:p>
    <w:p>
      <w:pPr>
        <w:ind w:left="140"/>
        <w:spacing w:after="0"/>
        <w:rPr>
          <w:sz w:val="20"/>
          <w:szCs w:val="20"/>
          <w:color w:val="auto"/>
        </w:rPr>
      </w:pPr>
      <w:r>
        <w:rPr>
          <w:rFonts w:ascii="Times New Roman" w:cs="Times New Roman" w:eastAsia="Times New Roman" w:hAnsi="Times New Roman"/>
          <w:sz w:val="9"/>
          <w:szCs w:val="9"/>
          <w:b w:val="1"/>
          <w:bCs w:val="1"/>
          <w:color w:val="107072"/>
        </w:rPr>
        <w:t>Platform</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5911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314" w:lineRule="exact"/>
        <w:rPr>
          <w:rFonts w:ascii="Times New Roman" w:cs="Times New Roman" w:eastAsia="Times New Roman" w:hAnsi="Times New Roman"/>
          <w:sz w:val="6"/>
          <w:szCs w:val="6"/>
          <w:color w:val="005A64"/>
        </w:rPr>
      </w:pPr>
    </w:p>
    <w:p>
      <w:pPr>
        <w:ind w:left="140"/>
        <w:spacing w:after="0" w:line="347" w:lineRule="auto"/>
        <w:rPr>
          <w:sz w:val="20"/>
          <w:szCs w:val="20"/>
          <w:color w:val="auto"/>
        </w:rPr>
      </w:pPr>
      <w:r>
        <w:rPr>
          <w:rFonts w:ascii="Times New Roman" w:cs="Times New Roman" w:eastAsia="Times New Roman" w:hAnsi="Times New Roman"/>
          <w:sz w:val="9"/>
          <w:szCs w:val="9"/>
          <w:b w:val="1"/>
          <w:bCs w:val="1"/>
          <w:color w:val="107072"/>
        </w:rPr>
        <w:t>Antibody-drug conjugates</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73660</wp:posOffset>
            </wp:positionH>
            <wp:positionV relativeFrom="paragraph">
              <wp:posOffset>400050</wp:posOffset>
            </wp:positionV>
            <wp:extent cx="5911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347" w:lineRule="exact"/>
        <w:rPr>
          <w:rFonts w:ascii="Times New Roman" w:cs="Times New Roman" w:eastAsia="Times New Roman" w:hAnsi="Times New Roman"/>
          <w:sz w:val="6"/>
          <w:szCs w:val="6"/>
          <w:color w:val="005A64"/>
        </w:rPr>
      </w:pPr>
    </w:p>
    <w:p>
      <w:pPr>
        <w:ind w:left="140"/>
        <w:spacing w:after="0"/>
        <w:rPr>
          <w:sz w:val="20"/>
          <w:szCs w:val="20"/>
          <w:color w:val="auto"/>
        </w:rPr>
      </w:pPr>
      <w:r>
        <w:rPr>
          <w:rFonts w:ascii="Times New Roman" w:cs="Times New Roman" w:eastAsia="Times New Roman" w:hAnsi="Times New Roman"/>
          <w:sz w:val="9"/>
          <w:szCs w:val="9"/>
          <w:b w:val="1"/>
          <w:bCs w:val="1"/>
          <w:color w:val="107072"/>
        </w:rPr>
        <w:t>Cell therapies</w:t>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5911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20" w:lineRule="exact"/>
        <w:rPr>
          <w:rFonts w:ascii="Times New Roman" w:cs="Times New Roman" w:eastAsia="Times New Roman" w:hAnsi="Times New Roman"/>
          <w:sz w:val="6"/>
          <w:szCs w:val="6"/>
          <w:color w:val="005A64"/>
        </w:rPr>
      </w:pPr>
      <w:r>
        <w:rPr>
          <w:rFonts w:ascii="Times New Roman" w:cs="Times New Roman" w:eastAsia="Times New Roman" w:hAnsi="Times New Roman"/>
          <w:sz w:val="6"/>
          <w:szCs w:val="6"/>
          <w:color w:val="005A64"/>
        </w:rPr>
        <w:br w:type="column"/>
      </w:r>
    </w:p>
    <w:p>
      <w:pPr>
        <w:spacing w:after="0" w:line="163" w:lineRule="exact"/>
        <w:rPr>
          <w:rFonts w:ascii="Times New Roman" w:cs="Times New Roman" w:eastAsia="Times New Roman" w:hAnsi="Times New Roman"/>
          <w:sz w:val="6"/>
          <w:szCs w:val="6"/>
          <w:color w:val="005A64"/>
        </w:rPr>
      </w:pPr>
    </w:p>
    <w:p>
      <w:pPr>
        <w:spacing w:after="0" w:line="1" w:lineRule="exact"/>
        <w:rPr>
          <w:rFonts w:ascii="Times New Roman" w:cs="Times New Roman" w:eastAsia="Times New Roman" w:hAnsi="Times New Roman"/>
          <w:sz w:val="1"/>
          <w:szCs w:val="1"/>
          <w:color w:val="005A64"/>
        </w:rPr>
      </w:pPr>
    </w:p>
    <w:tbl>
      <w:tblPr>
        <w:tblLayout w:type="fixed"/>
        <w:tblInd w:w="0" w:type="dxa"/>
        <w:tblCellMar>
          <w:top w:w="0" w:type="dxa"/>
          <w:left w:w="0" w:type="dxa"/>
          <w:bottom w:w="0" w:type="dxa"/>
          <w:right w:w="0" w:type="dxa"/>
        </w:tblCellMar>
      </w:tblPr>
      <w:tr>
        <w:trPr>
          <w:trHeight w:val="135"/>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Target</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860" w:type="dxa"/>
            <w:vAlign w:val="bottom"/>
            <w:tcBorders>
              <w:top w:val="single" w:sz="8" w:color="ECECEC"/>
            </w:tcBorders>
            <w:gridSpan w:val="2"/>
          </w:tcPr>
          <w:p>
            <w:pPr>
              <w:spacing w:after="0"/>
              <w:rPr>
                <w:sz w:val="11"/>
                <w:szCs w:val="11"/>
                <w:color w:val="auto"/>
              </w:rPr>
            </w:pPr>
          </w:p>
        </w:tc>
        <w:tc>
          <w:tcPr>
            <w:tcW w:w="7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72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900" w:type="dxa"/>
            <w:vAlign w:val="bottom"/>
            <w:tcBorders>
              <w:top w:val="single" w:sz="8" w:color="ECECEC"/>
              <w:right w:val="single" w:sz="8" w:color="ECECEC"/>
            </w:tcBorders>
            <w:gridSpan w:val="3"/>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128"/>
        </w:trPr>
        <w:tc>
          <w:tcPr>
            <w:tcW w:w="1220" w:type="dxa"/>
            <w:vAlign w:val="bottom"/>
            <w:tcBorders>
              <w:bottom w:val="single" w:sz="8" w:color="005A64"/>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005A64"/>
            </w:tcBorders>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Borders>
              <w:bottom w:val="single" w:sz="8" w:color="005A64"/>
            </w:tcBorders>
          </w:tcPr>
          <w:p>
            <w:pPr>
              <w:spacing w:after="0"/>
              <w:rPr>
                <w:sz w:val="11"/>
                <w:szCs w:val="11"/>
                <w:color w:val="auto"/>
              </w:rPr>
            </w:pPr>
          </w:p>
        </w:tc>
        <w:tc>
          <w:tcPr>
            <w:tcW w:w="140" w:type="dxa"/>
            <w:vAlign w:val="bottom"/>
            <w:tcBorders>
              <w:right w:val="single" w:sz="8" w:color="ECECEC"/>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tcBorders>
              <w:right w:val="single" w:sz="8" w:color="ECECEC"/>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005A64"/>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Trastuzumab pamirtecan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HR+/HER2-low metastatic breast cancer</w:t>
            </w:r>
          </w:p>
        </w:tc>
        <w:tc>
          <w:tcPr>
            <w:tcW w:w="140" w:type="dxa"/>
            <w:vAlign w:val="bottom"/>
          </w:tcPr>
          <w:p>
            <w:pPr>
              <w:spacing w:after="0"/>
              <w:rPr>
                <w:sz w:val="11"/>
                <w:szCs w:val="11"/>
                <w:color w:val="auto"/>
              </w:rPr>
            </w:pPr>
          </w:p>
        </w:tc>
        <w:tc>
          <w:tcPr>
            <w:tcW w:w="720" w:type="dxa"/>
            <w:vAlign w:val="bottom"/>
            <w:tcBorders>
              <w:bottom w:val="single" w:sz="8" w:color="ECECEC"/>
            </w:tcBorders>
          </w:tcPr>
          <w:p>
            <w:pPr>
              <w:spacing w:after="0"/>
              <w:rPr>
                <w:sz w:val="11"/>
                <w:szCs w:val="11"/>
                <w:color w:val="auto"/>
              </w:rPr>
            </w:pPr>
          </w:p>
        </w:tc>
        <w:tc>
          <w:tcPr>
            <w:tcW w:w="740" w:type="dxa"/>
            <w:vAlign w:val="bottom"/>
            <w:tcBorders>
              <w:bottom w:val="single" w:sz="8" w:color="BCDBCF"/>
            </w:tcBorders>
          </w:tcPr>
          <w:p>
            <w:pPr>
              <w:spacing w:after="0"/>
              <w:rPr>
                <w:sz w:val="11"/>
                <w:szCs w:val="11"/>
                <w:color w:val="auto"/>
              </w:rPr>
            </w:pPr>
          </w:p>
        </w:tc>
        <w:tc>
          <w:tcPr>
            <w:tcW w:w="720" w:type="dxa"/>
            <w:vAlign w:val="bottom"/>
            <w:tcBorders>
              <w:bottom w:val="single" w:sz="8" w:color="7CB9A1"/>
            </w:tcBorders>
          </w:tcPr>
          <w:p>
            <w:pPr>
              <w:spacing w:after="0"/>
              <w:rPr>
                <w:sz w:val="11"/>
                <w:szCs w:val="11"/>
                <w:color w:val="auto"/>
              </w:rPr>
            </w:pPr>
          </w:p>
        </w:tc>
        <w:tc>
          <w:tcPr>
            <w:tcW w:w="360" w:type="dxa"/>
            <w:vAlign w:val="bottom"/>
            <w:tcBorders>
              <w:bottom w:val="single" w:sz="8" w:color="3C9673"/>
            </w:tcBorders>
          </w:tcPr>
          <w:p>
            <w:pPr>
              <w:spacing w:after="0"/>
              <w:rPr>
                <w:sz w:val="11"/>
                <w:szCs w:val="11"/>
                <w:color w:val="auto"/>
              </w:rPr>
            </w:pPr>
          </w:p>
        </w:tc>
        <w:tc>
          <w:tcPr>
            <w:tcW w:w="380" w:type="dxa"/>
            <w:vAlign w:val="bottom"/>
            <w:tcBorders>
              <w:bottom w:val="single" w:sz="8" w:color="3C9673"/>
            </w:tcBorders>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320" w:type="dxa"/>
            <w:vAlign w:val="bottom"/>
            <w:gridSpan w:val="2"/>
            <w:vMerge w:val="continue"/>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HER2</w:t>
            </w:r>
          </w:p>
        </w:tc>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2L endometrial cancer</w:t>
            </w: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(BNT323 / DB-1303)</w:t>
            </w:r>
          </w:p>
        </w:tc>
        <w:tc>
          <w:tcPr>
            <w:tcW w:w="1140" w:type="dxa"/>
            <w:vAlign w:val="bottom"/>
            <w:gridSpan w:val="2"/>
            <w:vMerge w:val="continue"/>
          </w:tcPr>
          <w:p>
            <w:pPr>
              <w:spacing w:after="0"/>
              <w:rPr>
                <w:sz w:val="5"/>
                <w:szCs w:val="5"/>
                <w:color w:val="auto"/>
              </w:rPr>
            </w:pPr>
          </w:p>
        </w:tc>
        <w:tc>
          <w:tcPr>
            <w:tcW w:w="2300" w:type="dxa"/>
            <w:vAlign w:val="bottom"/>
            <w:tcBorders>
              <w:right w:val="single" w:sz="8" w:color="ECECEC"/>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shd w:val="clear" w:color="auto" w:fill="ECECEC"/>
          </w:tcPr>
          <w:p>
            <w:pPr>
              <w:spacing w:after="0"/>
              <w:rPr>
                <w:sz w:val="5"/>
                <w:szCs w:val="5"/>
                <w:color w:val="auto"/>
              </w:rPr>
            </w:pPr>
          </w:p>
        </w:tc>
        <w:tc>
          <w:tcPr>
            <w:tcW w:w="740" w:type="dxa"/>
            <w:vAlign w:val="bottom"/>
            <w:shd w:val="clear" w:color="auto" w:fill="BCDBCF"/>
          </w:tcPr>
          <w:p>
            <w:pPr>
              <w:spacing w:after="0"/>
              <w:rPr>
                <w:sz w:val="5"/>
                <w:szCs w:val="5"/>
                <w:color w:val="auto"/>
              </w:rPr>
            </w:pPr>
          </w:p>
        </w:tc>
        <w:tc>
          <w:tcPr>
            <w:tcW w:w="720" w:type="dxa"/>
            <w:vAlign w:val="bottom"/>
            <w:shd w:val="clear" w:color="auto" w:fill="7CB9A1"/>
          </w:tcPr>
          <w:p>
            <w:pPr>
              <w:spacing w:after="0"/>
              <w:rPr>
                <w:sz w:val="5"/>
                <w:szCs w:val="5"/>
                <w:color w:val="auto"/>
              </w:rPr>
            </w:pPr>
          </w:p>
        </w:tc>
        <w:tc>
          <w:tcPr>
            <w:tcW w:w="360" w:type="dxa"/>
            <w:vAlign w:val="bottom"/>
            <w:shd w:val="clear" w:color="auto" w:fill="3C9673"/>
          </w:tcPr>
          <w:p>
            <w:pPr>
              <w:spacing w:after="0"/>
              <w:rPr>
                <w:sz w:val="5"/>
                <w:szCs w:val="5"/>
                <w:color w:val="auto"/>
              </w:rPr>
            </w:pPr>
          </w:p>
        </w:tc>
        <w:tc>
          <w:tcPr>
            <w:tcW w:w="380" w:type="dxa"/>
            <w:vAlign w:val="bottom"/>
            <w:shd w:val="clear" w:color="auto" w:fill="3C9673"/>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3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Borders>
              <w:bottom w:val="single" w:sz="8" w:color="A8C7CA"/>
            </w:tcBorders>
          </w:tcPr>
          <w:p>
            <w:pPr>
              <w:spacing w:after="0"/>
              <w:rPr>
                <w:sz w:val="3"/>
                <w:szCs w:val="3"/>
                <w:color w:val="auto"/>
              </w:rPr>
            </w:pPr>
          </w:p>
        </w:tc>
        <w:tc>
          <w:tcPr>
            <w:tcW w:w="14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Borders>
              <w:bottom w:val="single" w:sz="8" w:color="BCDBCF"/>
            </w:tcBorders>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rPr>
                <w:sz w:val="1"/>
                <w:szCs w:val="1"/>
                <w:color w:val="auto"/>
              </w:rPr>
            </w:pPr>
          </w:p>
        </w:tc>
      </w:tr>
      <w:tr>
        <w:trPr>
          <w:trHeight w:val="40"/>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1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Borders>
              <w:bottom w:val="single" w:sz="8" w:color="A8C7CA"/>
            </w:tcBorders>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BNT324 / DB-1311</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B7-H3</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Borders>
              <w:bottom w:val="single" w:sz="8" w:color="BCDBCF"/>
            </w:tcBorders>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BNT325 / DB-1305</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TROP2</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Borders>
              <w:bottom w:val="single" w:sz="8" w:color="BCDBCF"/>
            </w:tcBorders>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8C7CA"/>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DBDBDB"/>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A8C7CA"/>
            </w:tcBorders>
          </w:tcPr>
          <w:p>
            <w:pPr>
              <w:spacing w:after="0"/>
              <w:rPr>
                <w:sz w:val="9"/>
                <w:szCs w:val="9"/>
                <w:color w:val="auto"/>
              </w:rPr>
            </w:pPr>
          </w:p>
        </w:tc>
        <w:tc>
          <w:tcPr>
            <w:tcW w:w="140" w:type="dxa"/>
            <w:vAlign w:val="bottom"/>
            <w:tcBorders>
              <w:right w:val="single" w:sz="8" w:color="ECECEC"/>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right w:val="single" w:sz="8" w:color="ECECEC"/>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bottom w:val="single" w:sz="8" w:color="A8C7CA"/>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BNT326 / YL202</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HER3</w:t>
            </w:r>
          </w:p>
        </w:tc>
        <w:tc>
          <w:tcPr>
            <w:tcW w:w="23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tcPr>
          <w:p>
            <w:pPr>
              <w:spacing w:after="0"/>
              <w:rPr>
                <w:sz w:val="10"/>
                <w:szCs w:val="10"/>
                <w:color w:val="auto"/>
              </w:rPr>
            </w:pPr>
          </w:p>
        </w:tc>
        <w:tc>
          <w:tcPr>
            <w:tcW w:w="720" w:type="dxa"/>
            <w:vAlign w:val="bottom"/>
            <w:tcBorders>
              <w:bottom w:val="single" w:sz="8" w:color="ECECEC"/>
            </w:tcBorders>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MediLink Therapeutics</w:t>
            </w:r>
          </w:p>
        </w:tc>
        <w:tc>
          <w:tcPr>
            <w:tcW w:w="0" w:type="dxa"/>
            <w:vAlign w:val="bottom"/>
          </w:tcPr>
          <w:p>
            <w:pPr>
              <w:spacing w:after="0"/>
              <w:rPr>
                <w:sz w:val="1"/>
                <w:szCs w:val="1"/>
                <w:color w:val="auto"/>
              </w:rPr>
            </w:pPr>
          </w:p>
        </w:tc>
      </w:tr>
      <w:tr>
        <w:trPr>
          <w:trHeight w:val="39"/>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right w:val="single" w:sz="8" w:color="ECECEC"/>
            </w:tcBorders>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1220" w:type="dxa"/>
            <w:vAlign w:val="bottom"/>
            <w:tcBorders>
              <w:bottom w:val="single" w:sz="8" w:color="DBDBDB"/>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DBDBDB"/>
            </w:tcBorders>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Borders>
              <w:bottom w:val="single" w:sz="8" w:color="DBDBDB"/>
            </w:tcBorders>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DBDBDB"/>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BNT211</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CLDN6</w:t>
            </w:r>
          </w:p>
        </w:tc>
        <w:tc>
          <w:tcPr>
            <w:tcW w:w="23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14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Borders>
              <w:right w:val="single" w:sz="8" w:color="26948B"/>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32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30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right w:val="single" w:sz="8" w:color="26948B"/>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4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26948B"/>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22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Borders>
              <w:bottom w:val="single" w:sz="8" w:color="005A64"/>
            </w:tcBorders>
          </w:tcPr>
          <w:p>
            <w:pPr>
              <w:spacing w:after="0"/>
              <w:rPr>
                <w:sz w:val="10"/>
                <w:szCs w:val="10"/>
                <w:color w:val="auto"/>
              </w:rPr>
            </w:pPr>
          </w:p>
        </w:tc>
        <w:tc>
          <w:tcPr>
            <w:tcW w:w="140" w:type="dxa"/>
            <w:vAlign w:val="bottom"/>
            <w:tcBorders>
              <w:right w:val="single" w:sz="8" w:color="ECECEC"/>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right w:val="single" w:sz="8" w:color="26948B"/>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bottom w:val="single" w:sz="8" w:color="005A64"/>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Borders>
              <w:right w:val="single" w:sz="8" w:color="ECECEC"/>
            </w:tcBorders>
          </w:tcPr>
          <w:p>
            <w:pPr>
              <w:spacing w:after="0"/>
              <w:rPr>
                <w:sz w:val="7"/>
                <w:szCs w:val="7"/>
                <w:color w:val="auto"/>
              </w:rPr>
            </w:pPr>
          </w:p>
        </w:tc>
        <w:tc>
          <w:tcPr>
            <w:tcW w:w="1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740" w:type="dxa"/>
            <w:vAlign w:val="bottom"/>
            <w:tcBorders>
              <w:bottom w:val="single" w:sz="8" w:color="ECECEC"/>
            </w:tcBorders>
          </w:tcPr>
          <w:p>
            <w:pPr>
              <w:spacing w:after="0"/>
              <w:rPr>
                <w:sz w:val="7"/>
                <w:szCs w:val="7"/>
                <w:color w:val="auto"/>
              </w:rPr>
            </w:pPr>
          </w:p>
        </w:tc>
        <w:tc>
          <w:tcPr>
            <w:tcW w:w="720" w:type="dxa"/>
            <w:vAlign w:val="bottom"/>
            <w:tcBorders>
              <w:bottom w:val="single" w:sz="8" w:color="ECECEC"/>
            </w:tcBorders>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Borders>
              <w:bottom w:val="single" w:sz="8" w:color="26948B"/>
            </w:tcBorders>
          </w:tcPr>
          <w:p>
            <w:pPr>
              <w:spacing w:after="0"/>
              <w:rPr>
                <w:sz w:val="7"/>
                <w:szCs w:val="7"/>
                <w:color w:val="auto"/>
              </w:rPr>
            </w:pPr>
          </w:p>
        </w:tc>
        <w:tc>
          <w:tcPr>
            <w:tcW w:w="160" w:type="dxa"/>
            <w:vAlign w:val="bottom"/>
            <w:tcBorders>
              <w:bottom w:val="single" w:sz="8" w:color="26948B"/>
              <w:right w:val="single" w:sz="8" w:color="26948B"/>
            </w:tcBorders>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6"/>
          <w:szCs w:val="6"/>
          <w:color w:val="005A64"/>
        </w:rPr>
      </w:pPr>
    </w:p>
    <w:p>
      <w:pPr>
        <w:sectPr>
          <w:pgSz w:w="11900" w:h="16838" w:orient="portrait"/>
          <w:cols w:equalWidth="0" w:num="2">
            <w:col w:w="740" w:space="420"/>
            <w:col w:w="10080"/>
          </w:cols>
          <w:pgMar w:left="320" w:top="167" w:right="339" w:bottom="90" w:gutter="0" w:footer="0" w:header="0"/>
          <w:type w:val="continuous"/>
        </w:sectPr>
      </w:pP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200" w:lineRule="exact"/>
        <w:rPr>
          <w:rFonts w:ascii="Times New Roman" w:cs="Times New Roman" w:eastAsia="Times New Roman" w:hAnsi="Times New Roman"/>
          <w:sz w:val="6"/>
          <w:szCs w:val="6"/>
          <w:color w:val="005A64"/>
        </w:rPr>
      </w:pPr>
    </w:p>
    <w:p>
      <w:pPr>
        <w:spacing w:after="0" w:line="262" w:lineRule="exact"/>
        <w:rPr>
          <w:rFonts w:ascii="Times New Roman" w:cs="Times New Roman" w:eastAsia="Times New Roman" w:hAnsi="Times New Roman"/>
          <w:sz w:val="6"/>
          <w:szCs w:val="6"/>
          <w:color w:val="005A64"/>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36</w:t>
      </w:r>
    </w:p>
    <w:p>
      <w:pPr>
        <w:sectPr>
          <w:pgSz w:w="11900" w:h="16838" w:orient="portrait"/>
          <w:cols w:equalWidth="0" w:num="1">
            <w:col w:w="11240"/>
          </w:cols>
          <w:pgMar w:left="320" w:top="167" w:right="339" w:bottom="90" w:gutter="0" w:footer="0" w:header="0"/>
          <w:type w:val="continuous"/>
        </w:sectPr>
      </w:pPr>
    </w:p>
    <w:bookmarkStart w:id="44" w:name="page45"/>
    <w:bookmarkEnd w:id="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703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Drug</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Product</w:t>
            </w:r>
          </w:p>
        </w:tc>
        <w:tc>
          <w:tcPr>
            <w:tcW w:w="600" w:type="dxa"/>
            <w:vAlign w:val="bottom"/>
          </w:tcPr>
          <w:p>
            <w:pPr>
              <w:spacing w:after="0"/>
              <w:rPr>
                <w:sz w:val="14"/>
                <w:szCs w:val="14"/>
                <w:color w:val="auto"/>
              </w:rPr>
            </w:pPr>
          </w:p>
        </w:tc>
        <w:tc>
          <w:tcPr>
            <w:tcW w:w="100" w:type="dxa"/>
            <w:vAlign w:val="bottom"/>
            <w:tcBorders>
              <w:right w:val="single" w:sz="8" w:color="ECECEC"/>
            </w:tcBorders>
          </w:tcPr>
          <w:p>
            <w:pPr>
              <w:spacing w:after="0"/>
              <w:rPr>
                <w:sz w:val="14"/>
                <w:szCs w:val="14"/>
                <w:color w:val="auto"/>
              </w:rPr>
            </w:pPr>
          </w:p>
        </w:tc>
        <w:tc>
          <w:tcPr>
            <w:tcW w:w="60" w:type="dxa"/>
            <w:vAlign w:val="bottom"/>
            <w:tcBorders>
              <w:top w:val="single" w:sz="8" w:color="ECECEC"/>
            </w:tcBorders>
          </w:tcPr>
          <w:p>
            <w:pPr>
              <w:spacing w:after="0"/>
              <w:rPr>
                <w:sz w:val="14"/>
                <w:szCs w:val="14"/>
                <w:color w:val="auto"/>
              </w:rPr>
            </w:pPr>
          </w:p>
        </w:tc>
        <w:tc>
          <w:tcPr>
            <w:tcW w:w="420" w:type="dxa"/>
            <w:vAlign w:val="bottom"/>
            <w:tcBorders>
              <w:top w:val="single" w:sz="8" w:color="ECECEC"/>
            </w:tcBorders>
          </w:tcPr>
          <w:p>
            <w:pPr>
              <w:spacing w:after="0"/>
              <w:rPr>
                <w:sz w:val="14"/>
                <w:szCs w:val="14"/>
                <w:color w:val="auto"/>
              </w:rPr>
            </w:pPr>
          </w:p>
        </w:tc>
        <w:tc>
          <w:tcPr>
            <w:tcW w:w="440" w:type="dxa"/>
            <w:vAlign w:val="bottom"/>
            <w:tcBorders>
              <w:top w:val="single" w:sz="8" w:color="ECECEC"/>
            </w:tcBorders>
          </w:tcPr>
          <w:p>
            <w:pPr>
              <w:spacing w:after="0"/>
              <w:rPr>
                <w:sz w:val="14"/>
                <w:szCs w:val="14"/>
                <w:color w:val="auto"/>
              </w:rPr>
            </w:pPr>
          </w:p>
        </w:tc>
        <w:tc>
          <w:tcPr>
            <w:tcW w:w="420" w:type="dxa"/>
            <w:vAlign w:val="bottom"/>
            <w:tcBorders>
              <w:top w:val="single" w:sz="8" w:color="ECECEC"/>
            </w:tcBorders>
          </w:tcPr>
          <w:p>
            <w:pPr>
              <w:spacing w:after="0"/>
              <w:rPr>
                <w:sz w:val="14"/>
                <w:szCs w:val="14"/>
                <w:color w:val="auto"/>
              </w:rPr>
            </w:pPr>
          </w:p>
        </w:tc>
        <w:tc>
          <w:tcPr>
            <w:tcW w:w="440" w:type="dxa"/>
            <w:vAlign w:val="bottom"/>
            <w:tcBorders>
              <w:top w:val="single" w:sz="8" w:color="ECECEC"/>
            </w:tcBorders>
          </w:tcPr>
          <w:p>
            <w:pPr>
              <w:spacing w:after="0"/>
              <w:rPr>
                <w:sz w:val="14"/>
                <w:szCs w:val="14"/>
                <w:color w:val="auto"/>
              </w:rPr>
            </w:pPr>
          </w:p>
        </w:tc>
        <w:tc>
          <w:tcPr>
            <w:tcW w:w="300" w:type="dxa"/>
            <w:vAlign w:val="bottom"/>
            <w:tcBorders>
              <w:top w:val="single" w:sz="8" w:color="ECECEC"/>
            </w:tcBorders>
          </w:tcPr>
          <w:p>
            <w:pPr>
              <w:spacing w:after="0"/>
              <w:rPr>
                <w:sz w:val="14"/>
                <w:szCs w:val="14"/>
                <w:color w:val="auto"/>
              </w:rPr>
            </w:pPr>
          </w:p>
        </w:tc>
        <w:tc>
          <w:tcPr>
            <w:tcW w:w="300" w:type="dxa"/>
            <w:vAlign w:val="bottom"/>
            <w:tcBorders>
              <w:top w:val="single" w:sz="8" w:color="ECECEC"/>
            </w:tcBorders>
          </w:tcPr>
          <w:p>
            <w:pPr>
              <w:spacing w:after="0"/>
              <w:rPr>
                <w:sz w:val="14"/>
                <w:szCs w:val="14"/>
                <w:color w:val="auto"/>
              </w:rPr>
            </w:pPr>
          </w:p>
        </w:tc>
        <w:tc>
          <w:tcPr>
            <w:tcW w:w="80" w:type="dxa"/>
            <w:vAlign w:val="bottom"/>
            <w:tcBorders>
              <w:top w:val="single" w:sz="8" w:color="ECECEC"/>
              <w:right w:val="single" w:sz="8" w:color="ECECEC"/>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6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100" w:type="dxa"/>
            <w:vAlign w:val="bottom"/>
            <w:tcBorders>
              <w:right w:val="single" w:sz="8" w:color="ECECEC"/>
            </w:tcBorders>
            <w:vMerge w:val="restart"/>
          </w:tcPr>
          <w:p>
            <w:pPr>
              <w:spacing w:after="0"/>
              <w:rPr>
                <w:sz w:val="9"/>
                <w:szCs w:val="9"/>
                <w:color w:val="auto"/>
              </w:rPr>
            </w:pPr>
          </w:p>
        </w:tc>
        <w:tc>
          <w:tcPr>
            <w:tcW w:w="60" w:type="dxa"/>
            <w:vAlign w:val="bottom"/>
          </w:tcPr>
          <w:p>
            <w:pPr>
              <w:spacing w:after="0"/>
              <w:rPr>
                <w:sz w:val="9"/>
                <w:szCs w:val="9"/>
                <w:color w:val="auto"/>
              </w:rPr>
            </w:pPr>
          </w:p>
        </w:tc>
        <w:tc>
          <w:tcPr>
            <w:tcW w:w="2320" w:type="dxa"/>
            <w:vAlign w:val="bottom"/>
            <w:gridSpan w:val="6"/>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1  Phase 1/2 Phase 2   Phase 3   Commercial</w:t>
            </w:r>
          </w:p>
        </w:tc>
        <w:tc>
          <w:tcPr>
            <w:tcW w:w="80" w:type="dxa"/>
            <w:vAlign w:val="bottom"/>
            <w:tcBorders>
              <w:right w:val="single" w:sz="8" w:color="ECECEC"/>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9"/>
                <w:szCs w:val="9"/>
                <w:b w:val="1"/>
                <w:bCs w:val="1"/>
                <w:color w:val="107072"/>
              </w:rPr>
              <w:t>rights</w:t>
            </w:r>
            <w:r>
              <w:rPr>
                <w:rFonts w:ascii="Times New Roman" w:cs="Times New Roman" w:eastAsia="Times New Roman" w:hAnsi="Times New Roman"/>
                <w:sz w:val="11"/>
                <w:szCs w:val="11"/>
                <w:b w:val="1"/>
                <w:bCs w:val="1"/>
                <w:color w:val="107072"/>
                <w:vertAlign w:val="superscript"/>
              </w:rPr>
              <w:t>(1)</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120"/>
        </w:trPr>
        <w:tc>
          <w:tcPr>
            <w:tcW w:w="38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class</w:t>
            </w:r>
          </w:p>
        </w:tc>
        <w:tc>
          <w:tcPr>
            <w:tcW w:w="80" w:type="dxa"/>
            <w:vAlign w:val="bottom"/>
          </w:tcPr>
          <w:p>
            <w:pPr>
              <w:spacing w:after="0"/>
              <w:rPr>
                <w:sz w:val="10"/>
                <w:szCs w:val="10"/>
                <w:color w:val="auto"/>
              </w:rPr>
            </w:pPr>
          </w:p>
        </w:tc>
        <w:tc>
          <w:tcPr>
            <w:tcW w:w="500" w:type="dxa"/>
            <w:vAlign w:val="bottom"/>
            <w:tcBorders>
              <w:bottom w:val="single" w:sz="8" w:color="005A64"/>
            </w:tcBorders>
          </w:tcPr>
          <w:p>
            <w:pPr>
              <w:ind w:left="20"/>
              <w:spacing w:after="0"/>
              <w:rPr>
                <w:sz w:val="20"/>
                <w:szCs w:val="20"/>
                <w:color w:val="auto"/>
              </w:rPr>
            </w:pPr>
            <w:r>
              <w:rPr>
                <w:rFonts w:ascii="Times New Roman" w:cs="Times New Roman" w:eastAsia="Times New Roman" w:hAnsi="Times New Roman"/>
                <w:sz w:val="9"/>
                <w:szCs w:val="9"/>
                <w:b w:val="1"/>
                <w:bCs w:val="1"/>
                <w:color w:val="107072"/>
              </w:rPr>
              <w:t>candidate</w:t>
            </w:r>
          </w:p>
        </w:tc>
        <w:tc>
          <w:tcPr>
            <w:tcW w:w="80" w:type="dxa"/>
            <w:vAlign w:val="bottom"/>
          </w:tcPr>
          <w:p>
            <w:pPr>
              <w:spacing w:after="0"/>
              <w:rPr>
                <w:sz w:val="10"/>
                <w:szCs w:val="10"/>
                <w:color w:val="auto"/>
              </w:rPr>
            </w:pPr>
          </w:p>
        </w:tc>
        <w:tc>
          <w:tcPr>
            <w:tcW w:w="600" w:type="dxa"/>
            <w:vAlign w:val="bottom"/>
            <w:tcBorders>
              <w:bottom w:val="single" w:sz="8" w:color="005A64"/>
            </w:tcBorders>
            <w:vMerge w:val="continue"/>
          </w:tcPr>
          <w:p>
            <w:pPr>
              <w:spacing w:after="0"/>
              <w:rPr>
                <w:sz w:val="10"/>
                <w:szCs w:val="10"/>
                <w:color w:val="auto"/>
              </w:rPr>
            </w:pPr>
          </w:p>
        </w:tc>
        <w:tc>
          <w:tcPr>
            <w:tcW w:w="100" w:type="dxa"/>
            <w:vAlign w:val="bottom"/>
            <w:tcBorders>
              <w:right w:val="single" w:sz="8" w:color="ECECEC"/>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320" w:type="dxa"/>
            <w:vAlign w:val="bottom"/>
            <w:gridSpan w:val="6"/>
            <w:vMerge w:val="continue"/>
          </w:tcPr>
          <w:p>
            <w:pPr>
              <w:spacing w:after="0"/>
              <w:rPr>
                <w:sz w:val="10"/>
                <w:szCs w:val="10"/>
                <w:color w:val="auto"/>
              </w:rPr>
            </w:pPr>
          </w:p>
        </w:tc>
        <w:tc>
          <w:tcPr>
            <w:tcW w:w="80" w:type="dxa"/>
            <w:vAlign w:val="bottom"/>
            <w:tcBorders>
              <w:right w:val="single" w:sz="8" w:color="ECECEC"/>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005A64"/>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005A64"/>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BNT162</w:t>
            </w: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COVID-19</w:t>
            </w:r>
          </w:p>
        </w:tc>
        <w:tc>
          <w:tcPr>
            <w:tcW w:w="60" w:type="dxa"/>
            <w:vAlign w:val="bottom"/>
            <w:vMerge w:val="restart"/>
          </w:tcPr>
          <w:p>
            <w:pPr>
              <w:spacing w:after="0"/>
              <w:rPr>
                <w:sz w:val="10"/>
                <w:szCs w:val="10"/>
                <w:color w:val="auto"/>
              </w:rPr>
            </w:pPr>
          </w:p>
        </w:tc>
        <w:tc>
          <w:tcPr>
            <w:tcW w:w="420" w:type="dxa"/>
            <w:vAlign w:val="bottom"/>
            <w:tcBorders>
              <w:bottom w:val="single" w:sz="8" w:color="ECECEC"/>
            </w:tcBorders>
          </w:tcPr>
          <w:p>
            <w:pPr>
              <w:spacing w:after="0"/>
              <w:rPr>
                <w:sz w:val="10"/>
                <w:szCs w:val="10"/>
                <w:color w:val="auto"/>
              </w:rPr>
            </w:pPr>
          </w:p>
        </w:tc>
        <w:tc>
          <w:tcPr>
            <w:tcW w:w="440" w:type="dxa"/>
            <w:vAlign w:val="bottom"/>
            <w:tcBorders>
              <w:bottom w:val="single" w:sz="8" w:color="BCDBCF"/>
            </w:tcBorders>
          </w:tcPr>
          <w:p>
            <w:pPr>
              <w:spacing w:after="0"/>
              <w:rPr>
                <w:sz w:val="10"/>
                <w:szCs w:val="10"/>
                <w:color w:val="auto"/>
              </w:rPr>
            </w:pPr>
          </w:p>
        </w:tc>
        <w:tc>
          <w:tcPr>
            <w:tcW w:w="420" w:type="dxa"/>
            <w:vAlign w:val="bottom"/>
            <w:tcBorders>
              <w:bottom w:val="single" w:sz="8" w:color="7CB9A1"/>
            </w:tcBorders>
          </w:tcPr>
          <w:p>
            <w:pPr>
              <w:spacing w:after="0"/>
              <w:rPr>
                <w:sz w:val="10"/>
                <w:szCs w:val="10"/>
                <w:color w:val="auto"/>
              </w:rPr>
            </w:pPr>
          </w:p>
        </w:tc>
        <w:tc>
          <w:tcPr>
            <w:tcW w:w="440" w:type="dxa"/>
            <w:vAlign w:val="bottom"/>
            <w:tcBorders>
              <w:bottom w:val="single" w:sz="8" w:color="3C9673"/>
            </w:tcBorders>
          </w:tcPr>
          <w:p>
            <w:pPr>
              <w:spacing w:after="0"/>
              <w:rPr>
                <w:sz w:val="10"/>
                <w:szCs w:val="10"/>
                <w:color w:val="auto"/>
              </w:rPr>
            </w:pPr>
          </w:p>
        </w:tc>
        <w:tc>
          <w:tcPr>
            <w:tcW w:w="300" w:type="dxa"/>
            <w:vAlign w:val="bottom"/>
            <w:tcBorders>
              <w:bottom w:val="single" w:sz="8" w:color="BECE33"/>
            </w:tcBorders>
          </w:tcPr>
          <w:p>
            <w:pPr>
              <w:spacing w:after="0"/>
              <w:rPr>
                <w:sz w:val="10"/>
                <w:szCs w:val="10"/>
                <w:color w:val="auto"/>
              </w:rPr>
            </w:pPr>
          </w:p>
        </w:tc>
        <w:tc>
          <w:tcPr>
            <w:tcW w:w="300" w:type="dxa"/>
            <w:vAlign w:val="bottom"/>
            <w:tcBorders>
              <w:bottom w:val="single" w:sz="8" w:color="BECE33"/>
            </w:tcBorders>
          </w:tcPr>
          <w:p>
            <w:pPr>
              <w:spacing w:after="0"/>
              <w:rPr>
                <w:sz w:val="10"/>
                <w:szCs w:val="10"/>
                <w:color w:val="auto"/>
              </w:rPr>
            </w:pPr>
          </w:p>
        </w:tc>
        <w:tc>
          <w:tcPr>
            <w:tcW w:w="80" w:type="dxa"/>
            <w:vAlign w:val="bottom"/>
            <w:tcBorders>
              <w:right w:val="single" w:sz="8" w:color="ECECEC"/>
            </w:tcBorders>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 Fosun Pharma</w:t>
            </w:r>
          </w:p>
        </w:tc>
        <w:tc>
          <w:tcPr>
            <w:tcW w:w="0" w:type="dxa"/>
            <w:vAlign w:val="bottom"/>
          </w:tcPr>
          <w:p>
            <w:pPr>
              <w:spacing w:after="0"/>
              <w:rPr>
                <w:sz w:val="1"/>
                <w:szCs w:val="1"/>
                <w:color w:val="auto"/>
              </w:rPr>
            </w:pPr>
          </w:p>
        </w:tc>
      </w:tr>
      <w:tr>
        <w:trPr>
          <w:trHeight w:val="40"/>
        </w:trPr>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tcBorders>
              <w:right w:val="single" w:sz="8" w:color="ECECEC"/>
            </w:tcBorders>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right w:val="single" w:sz="8" w:color="ECECEC"/>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8C7CA"/>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8C7CA"/>
            </w:tcBorders>
          </w:tcPr>
          <w:p>
            <w:pPr>
              <w:spacing w:after="0"/>
              <w:rPr>
                <w:sz w:val="5"/>
                <w:szCs w:val="5"/>
                <w:color w:val="auto"/>
              </w:rPr>
            </w:pPr>
          </w:p>
        </w:tc>
        <w:tc>
          <w:tcPr>
            <w:tcW w:w="100" w:type="dxa"/>
            <w:vAlign w:val="bottom"/>
            <w:tcBorders>
              <w:right w:val="single" w:sz="8" w:color="ECECEC"/>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ECECEC"/>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8C7CA"/>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BNT162 +</w:t>
            </w:r>
          </w:p>
        </w:tc>
        <w:tc>
          <w:tcPr>
            <w:tcW w:w="70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COVID-19 –</w:t>
            </w:r>
          </w:p>
        </w:tc>
        <w:tc>
          <w:tcPr>
            <w:tcW w:w="60" w:type="dxa"/>
            <w:vAlign w:val="bottom"/>
          </w:tcPr>
          <w:p>
            <w:pPr>
              <w:spacing w:after="0"/>
              <w:rPr>
                <w:sz w:val="18"/>
                <w:szCs w:val="18"/>
                <w:color w:val="auto"/>
              </w:rPr>
            </w:pPr>
          </w:p>
        </w:tc>
        <w:tc>
          <w:tcPr>
            <w:tcW w:w="420" w:type="dxa"/>
            <w:vAlign w:val="bottom"/>
            <w:tcBorders>
              <w:bottom w:val="single" w:sz="8" w:color="ECECEC"/>
            </w:tcBorders>
          </w:tcPr>
          <w:p>
            <w:pPr>
              <w:spacing w:after="0"/>
              <w:rPr>
                <w:sz w:val="18"/>
                <w:szCs w:val="18"/>
                <w:color w:val="auto"/>
              </w:rPr>
            </w:pPr>
          </w:p>
        </w:tc>
        <w:tc>
          <w:tcPr>
            <w:tcW w:w="440" w:type="dxa"/>
            <w:vAlign w:val="bottom"/>
            <w:tcBorders>
              <w:bottom w:val="single" w:sz="8" w:color="BCDBCF"/>
            </w:tcBorders>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right w:val="single" w:sz="8" w:color="ECECEC"/>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line="94" w:lineRule="exact"/>
              <w:rPr>
                <w:sz w:val="20"/>
                <w:szCs w:val="20"/>
                <w:color w:val="auto"/>
              </w:rPr>
            </w:pPr>
            <w:r>
              <w:rPr>
                <w:rFonts w:ascii="Times New Roman" w:cs="Times New Roman" w:eastAsia="Times New Roman" w:hAnsi="Times New Roman"/>
                <w:sz w:val="9"/>
                <w:szCs w:val="9"/>
                <w:color w:val="005A64"/>
              </w:rPr>
              <w:t>BNT161</w:t>
            </w:r>
          </w:p>
        </w:tc>
        <w:tc>
          <w:tcPr>
            <w:tcW w:w="700" w:type="dxa"/>
            <w:vAlign w:val="bottom"/>
            <w:tcBorders>
              <w:right w:val="single" w:sz="8" w:color="ECECEC"/>
            </w:tcBorders>
            <w:gridSpan w:val="2"/>
          </w:tcPr>
          <w:p>
            <w:pPr>
              <w:ind w:left="20"/>
              <w:spacing w:after="0" w:line="40" w:lineRule="exact"/>
              <w:rPr>
                <w:sz w:val="20"/>
                <w:szCs w:val="20"/>
                <w:color w:val="auto"/>
              </w:rPr>
            </w:pPr>
            <w:r>
              <w:rPr>
                <w:rFonts w:ascii="Times New Roman" w:cs="Times New Roman" w:eastAsia="Times New Roman" w:hAnsi="Times New Roman"/>
                <w:sz w:val="4"/>
                <w:szCs w:val="4"/>
                <w:color w:val="005A64"/>
              </w:rPr>
              <w:t>Influenza</w:t>
            </w:r>
          </w:p>
        </w:tc>
        <w:tc>
          <w:tcPr>
            <w:tcW w:w="60" w:type="dxa"/>
            <w:vAlign w:val="bottom"/>
          </w:tcPr>
          <w:p>
            <w:pPr>
              <w:spacing w:after="0"/>
              <w:rPr>
                <w:sz w:val="3"/>
                <w:szCs w:val="3"/>
                <w:color w:val="auto"/>
              </w:rPr>
            </w:pPr>
          </w:p>
        </w:tc>
        <w:tc>
          <w:tcPr>
            <w:tcW w:w="420" w:type="dxa"/>
            <w:vAlign w:val="bottom"/>
            <w:tcBorders>
              <w:top w:val="single" w:sz="8" w:color="ECECEC"/>
            </w:tcBorders>
          </w:tcPr>
          <w:p>
            <w:pPr>
              <w:spacing w:after="0"/>
              <w:rPr>
                <w:sz w:val="3"/>
                <w:szCs w:val="3"/>
                <w:color w:val="auto"/>
              </w:rPr>
            </w:pPr>
          </w:p>
        </w:tc>
        <w:tc>
          <w:tcPr>
            <w:tcW w:w="440" w:type="dxa"/>
            <w:vAlign w:val="bottom"/>
            <w:tcBorders>
              <w:top w:val="single" w:sz="8" w:color="BCDBCF"/>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right w:val="single" w:sz="8" w:color="ECECE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tcPr>
          <w:p>
            <w:pPr>
              <w:ind w:left="20"/>
              <w:spacing w:after="0" w:line="26" w:lineRule="exact"/>
              <w:rPr>
                <w:sz w:val="20"/>
                <w:szCs w:val="20"/>
                <w:color w:val="auto"/>
              </w:rPr>
            </w:pPr>
            <w:r>
              <w:rPr>
                <w:rFonts w:ascii="Times New Roman" w:cs="Times New Roman" w:eastAsia="Times New Roman" w:hAnsi="Times New Roman"/>
                <w:sz w:val="3"/>
                <w:szCs w:val="3"/>
                <w:color w:val="005A64"/>
              </w:rPr>
              <w:t>Collaboration</w:t>
            </w:r>
          </w:p>
        </w:tc>
        <w:tc>
          <w:tcPr>
            <w:tcW w:w="920" w:type="dxa"/>
            <w:vAlign w:val="bottom"/>
          </w:tcPr>
          <w:p>
            <w:pPr>
              <w:ind w:left="20"/>
              <w:spacing w:after="0" w:line="26" w:lineRule="exact"/>
              <w:rPr>
                <w:sz w:val="20"/>
                <w:szCs w:val="20"/>
                <w:color w:val="auto"/>
              </w:rPr>
            </w:pPr>
            <w:r>
              <w:rPr>
                <w:rFonts w:ascii="Times New Roman" w:cs="Times New Roman" w:eastAsia="Times New Roman" w:hAnsi="Times New Roman"/>
                <w:sz w:val="3"/>
                <w:szCs w:val="3"/>
                <w:color w:val="005A64"/>
              </w:rPr>
              <w:t>Pfizer</w:t>
            </w:r>
          </w:p>
        </w:tc>
        <w:tc>
          <w:tcPr>
            <w:tcW w:w="0" w:type="dxa"/>
            <w:vAlign w:val="bottom"/>
          </w:tcPr>
          <w:p>
            <w:pPr>
              <w:spacing w:after="0" w:line="20" w:lineRule="exact"/>
              <w:rPr>
                <w:sz w:val="1"/>
                <w:szCs w:val="1"/>
                <w:color w:val="auto"/>
              </w:rPr>
            </w:pPr>
          </w:p>
        </w:tc>
      </w:tr>
      <w:tr>
        <w:trPr>
          <w:trHeight w:val="54"/>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combination</w:t>
            </w: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right w:val="single" w:sz="8" w:color="ECECEC"/>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right w:val="single" w:sz="8" w:color="ECECEC"/>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ECECEC"/>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8C7CA"/>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8C7CA"/>
            </w:tcBorders>
          </w:tcPr>
          <w:p>
            <w:pPr>
              <w:spacing w:after="0"/>
              <w:rPr>
                <w:sz w:val="2"/>
                <w:szCs w:val="2"/>
                <w:color w:val="auto"/>
              </w:rPr>
            </w:pPr>
          </w:p>
        </w:tc>
        <w:tc>
          <w:tcPr>
            <w:tcW w:w="100" w:type="dxa"/>
            <w:vAlign w:val="bottom"/>
            <w:tcBorders>
              <w:right w:val="single" w:sz="8" w:color="ECECEC"/>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right w:val="single" w:sz="8" w:color="ECECEC"/>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8C7CA"/>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8C7CA"/>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BNT163</w:t>
            </w: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HSV</w:t>
            </w:r>
          </w:p>
        </w:tc>
        <w:tc>
          <w:tcPr>
            <w:tcW w:w="60" w:type="dxa"/>
            <w:vAlign w:val="bottom"/>
          </w:tcPr>
          <w:p>
            <w:pPr>
              <w:spacing w:after="0"/>
              <w:rPr>
                <w:sz w:val="12"/>
                <w:szCs w:val="12"/>
                <w:color w:val="auto"/>
              </w:rPr>
            </w:pPr>
          </w:p>
        </w:tc>
        <w:tc>
          <w:tcPr>
            <w:tcW w:w="420" w:type="dxa"/>
            <w:vAlign w:val="bottom"/>
            <w:tcBorders>
              <w:bottom w:val="single" w:sz="8" w:color="ECECEC"/>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right w:val="single" w:sz="8" w:color="ECECEC"/>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92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University of</w:t>
            </w:r>
          </w:p>
        </w:tc>
        <w:tc>
          <w:tcPr>
            <w:tcW w:w="0" w:type="dxa"/>
            <w:vAlign w:val="bottom"/>
          </w:tcPr>
          <w:p>
            <w:pPr>
              <w:spacing w:after="0"/>
              <w:rPr>
                <w:sz w:val="1"/>
                <w:szCs w:val="1"/>
                <w:color w:val="auto"/>
              </w:rPr>
            </w:pPr>
          </w:p>
        </w:tc>
      </w:tr>
      <w:tr>
        <w:trPr>
          <w:trHeight w:val="40"/>
        </w:trPr>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3C9673"/>
              </w:rPr>
              <w:t>mRNA</w:t>
            </w:r>
          </w:p>
        </w:tc>
        <w:tc>
          <w:tcPr>
            <w:tcW w:w="580" w:type="dxa"/>
            <w:vAlign w:val="bottom"/>
            <w:gridSpan w:val="2"/>
            <w:vMerge w:val="continue"/>
          </w:tcPr>
          <w:p>
            <w:pPr>
              <w:spacing w:after="0"/>
              <w:rPr>
                <w:sz w:val="3"/>
                <w:szCs w:val="3"/>
                <w:color w:val="auto"/>
              </w:rPr>
            </w:pPr>
          </w:p>
        </w:tc>
        <w:tc>
          <w:tcPr>
            <w:tcW w:w="700" w:type="dxa"/>
            <w:vAlign w:val="bottom"/>
            <w:tcBorders>
              <w:right w:val="single" w:sz="8" w:color="ECECEC"/>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right w:val="single" w:sz="8" w:color="ECECE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Pennsylvania</w:t>
            </w:r>
          </w:p>
        </w:tc>
        <w:tc>
          <w:tcPr>
            <w:tcW w:w="0" w:type="dxa"/>
            <w:vAlign w:val="bottom"/>
          </w:tcPr>
          <w:p>
            <w:pPr>
              <w:spacing w:after="0" w:line="20" w:lineRule="exact"/>
              <w:rPr>
                <w:sz w:val="1"/>
                <w:szCs w:val="1"/>
                <w:color w:val="auto"/>
              </w:rPr>
            </w:pPr>
          </w:p>
        </w:tc>
      </w:tr>
      <w:tr>
        <w:trPr>
          <w:trHeight w:val="68"/>
        </w:trPr>
        <w:tc>
          <w:tcPr>
            <w:tcW w:w="4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ECECEC"/>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ECECEC"/>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460" w:type="dxa"/>
            <w:vAlign w:val="bottom"/>
            <w:gridSpan w:val="2"/>
            <w:vMerge w:val="continue"/>
          </w:tcPr>
          <w:p>
            <w:pPr>
              <w:spacing w:after="0"/>
              <w:rPr>
                <w:sz w:val="2"/>
                <w:szCs w:val="2"/>
                <w:color w:val="auto"/>
              </w:rPr>
            </w:pPr>
          </w:p>
        </w:tc>
        <w:tc>
          <w:tcPr>
            <w:tcW w:w="500" w:type="dxa"/>
            <w:vAlign w:val="bottom"/>
            <w:tcBorders>
              <w:bottom w:val="single" w:sz="8" w:color="A8C7CA"/>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8C7CA"/>
            </w:tcBorders>
          </w:tcPr>
          <w:p>
            <w:pPr>
              <w:spacing w:after="0"/>
              <w:rPr>
                <w:sz w:val="2"/>
                <w:szCs w:val="2"/>
                <w:color w:val="auto"/>
              </w:rPr>
            </w:pPr>
          </w:p>
        </w:tc>
        <w:tc>
          <w:tcPr>
            <w:tcW w:w="100" w:type="dxa"/>
            <w:vAlign w:val="bottom"/>
            <w:tcBorders>
              <w:right w:val="single" w:sz="8" w:color="ECECEC"/>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right w:val="single" w:sz="8" w:color="ECECEC"/>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8C7CA"/>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8C7CA"/>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60" w:type="dxa"/>
            <w:vAlign w:val="bottom"/>
            <w:gridSpan w:val="2"/>
            <w:vMerge w:val="continue"/>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BNT164</w:t>
            </w: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Tuberculosis</w:t>
            </w: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right w:val="single" w:sz="8" w:color="ECECE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the Gates</w:t>
            </w:r>
          </w:p>
        </w:tc>
        <w:tc>
          <w:tcPr>
            <w:tcW w:w="0" w:type="dxa"/>
            <w:vAlign w:val="bottom"/>
          </w:tcPr>
          <w:p>
            <w:pPr>
              <w:spacing w:after="0"/>
              <w:rPr>
                <w:sz w:val="1"/>
                <w:szCs w:val="1"/>
                <w:color w:val="auto"/>
              </w:rPr>
            </w:pPr>
          </w:p>
        </w:tc>
      </w:tr>
      <w:tr>
        <w:trPr>
          <w:trHeight w:val="76"/>
        </w:trPr>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00" w:type="dxa"/>
            <w:vAlign w:val="bottom"/>
            <w:tcBorders>
              <w:right w:val="single" w:sz="8" w:color="ECECEC"/>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ECECEC"/>
            </w:tcBorders>
          </w:tcPr>
          <w:p>
            <w:pPr>
              <w:spacing w:after="0"/>
              <w:rPr>
                <w:sz w:val="6"/>
                <w:szCs w:val="6"/>
                <w:color w:val="auto"/>
              </w:rPr>
            </w:pPr>
          </w:p>
        </w:tc>
        <w:tc>
          <w:tcPr>
            <w:tcW w:w="440" w:type="dxa"/>
            <w:vAlign w:val="bottom"/>
            <w:tcBorders>
              <w:bottom w:val="single" w:sz="8" w:color="BCDBCF"/>
            </w:tcBorders>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right w:val="single" w:sz="8" w:color="ECECE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700" w:type="dxa"/>
            <w:vAlign w:val="bottom"/>
            <w:tcBorders>
              <w:right w:val="single" w:sz="8" w:color="ECECEC"/>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right w:val="single" w:sz="8" w:color="ECECEC"/>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00" w:type="dxa"/>
            <w:vAlign w:val="bottom"/>
            <w:tcBorders>
              <w:right w:val="single" w:sz="8" w:color="ECECEC"/>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ECECE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20" w:type="dxa"/>
            <w:vAlign w:val="bottom"/>
            <w:vMerge w:val="restart"/>
          </w:tcPr>
          <w:p>
            <w:pPr>
              <w:ind w:left="20"/>
              <w:spacing w:after="0" w:line="89" w:lineRule="exact"/>
              <w:rPr>
                <w:sz w:val="20"/>
                <w:szCs w:val="20"/>
                <w:color w:val="auto"/>
              </w:rPr>
            </w:pPr>
            <w:r>
              <w:rPr>
                <w:rFonts w:ascii="Times New Roman" w:cs="Times New Roman" w:eastAsia="Times New Roman" w:hAnsi="Times New Roman"/>
                <w:sz w:val="9"/>
                <w:szCs w:val="9"/>
                <w:color w:val="005A64"/>
              </w:rPr>
              <w:t>Foundation</w:t>
            </w:r>
          </w:p>
        </w:tc>
        <w:tc>
          <w:tcPr>
            <w:tcW w:w="0" w:type="dxa"/>
            <w:vAlign w:val="bottom"/>
          </w:tcPr>
          <w:p>
            <w:pPr>
              <w:spacing w:after="0"/>
              <w:rPr>
                <w:sz w:val="1"/>
                <w:szCs w:val="1"/>
                <w:color w:val="auto"/>
              </w:rPr>
            </w:pPr>
          </w:p>
        </w:tc>
      </w:tr>
      <w:tr>
        <w:trPr>
          <w:trHeight w:val="76"/>
        </w:trPr>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ECECEC"/>
            </w:tcBorders>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Borders>
              <w:bottom w:val="single" w:sz="8" w:color="ECECEC"/>
            </w:tcBorders>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right w:val="single" w:sz="8" w:color="ECECEC"/>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A8C7CA"/>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8C7CA"/>
            </w:tcBorders>
          </w:tcPr>
          <w:p>
            <w:pPr>
              <w:spacing w:after="0"/>
              <w:rPr>
                <w:sz w:val="9"/>
                <w:szCs w:val="9"/>
                <w:color w:val="auto"/>
              </w:rPr>
            </w:pPr>
          </w:p>
        </w:tc>
        <w:tc>
          <w:tcPr>
            <w:tcW w:w="100" w:type="dxa"/>
            <w:vAlign w:val="bottom"/>
            <w:tcBorders>
              <w:right w:val="single" w:sz="8" w:color="ECECEC"/>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A8C7CA"/>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A8C7CA"/>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BNT165</w:t>
            </w: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Malaria</w:t>
            </w:r>
          </w:p>
        </w:tc>
        <w:tc>
          <w:tcPr>
            <w:tcW w:w="60" w:type="dxa"/>
            <w:vAlign w:val="bottom"/>
            <w:vMerge w:val="restart"/>
          </w:tcPr>
          <w:p>
            <w:pPr>
              <w:spacing w:after="0"/>
              <w:rPr>
                <w:sz w:val="9"/>
                <w:szCs w:val="9"/>
                <w:color w:val="auto"/>
              </w:rPr>
            </w:pPr>
          </w:p>
        </w:tc>
        <w:tc>
          <w:tcPr>
            <w:tcW w:w="420" w:type="dxa"/>
            <w:vAlign w:val="bottom"/>
            <w:tcBorders>
              <w:bottom w:val="single" w:sz="8" w:color="ECECEC"/>
            </w:tcBorders>
          </w:tcPr>
          <w:p>
            <w:pPr>
              <w:spacing w:after="0"/>
              <w:rPr>
                <w:sz w:val="9"/>
                <w:szCs w:val="9"/>
                <w:color w:val="auto"/>
              </w:rPr>
            </w:pPr>
          </w:p>
        </w:tc>
        <w:tc>
          <w:tcPr>
            <w:tcW w:w="440" w:type="dxa"/>
            <w:vAlign w:val="bottom"/>
            <w:tcBorders>
              <w:bottom w:val="single" w:sz="8" w:color="BCDBCF"/>
            </w:tcBorders>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tcBorders>
              <w:right w:val="single" w:sz="8" w:color="ECECEC"/>
            </w:tcBorders>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5"/>
        </w:trPr>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8C7CA"/>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8C7CA"/>
            </w:tcBorders>
          </w:tcPr>
          <w:p>
            <w:pPr>
              <w:spacing w:after="0"/>
              <w:rPr>
                <w:sz w:val="4"/>
                <w:szCs w:val="4"/>
                <w:color w:val="auto"/>
              </w:rPr>
            </w:pPr>
          </w:p>
        </w:tc>
        <w:tc>
          <w:tcPr>
            <w:tcW w:w="100" w:type="dxa"/>
            <w:vAlign w:val="bottom"/>
            <w:tcBorders>
              <w:right w:val="single" w:sz="8" w:color="ECECEC"/>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8C7CA"/>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BNT166</w:t>
            </w:r>
          </w:p>
        </w:tc>
        <w:tc>
          <w:tcPr>
            <w:tcW w:w="70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Mpox</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right w:val="single" w:sz="8" w:color="26948B"/>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CEPI</w:t>
            </w:r>
            <w:r>
              <w:rPr>
                <w:rFonts w:ascii="Times New Roman" w:cs="Times New Roman" w:eastAsia="Times New Roman" w:hAnsi="Times New Roman"/>
                <w:sz w:val="11"/>
                <w:szCs w:val="11"/>
                <w:color w:val="005A64"/>
                <w:vertAlign w:val="superscript"/>
              </w:rPr>
              <w:t>(7)</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00" w:type="dxa"/>
            <w:vAlign w:val="bottom"/>
            <w:tcBorders>
              <w:right w:val="single" w:sz="8" w:color="ECECEC"/>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shd w:val="clear" w:color="auto" w:fill="ECECEC"/>
          </w:tcPr>
          <w:p>
            <w:pPr>
              <w:spacing w:after="0"/>
              <w:rPr>
                <w:sz w:val="5"/>
                <w:szCs w:val="5"/>
                <w:color w:val="auto"/>
              </w:rPr>
            </w:pPr>
          </w:p>
        </w:tc>
        <w:tc>
          <w:tcPr>
            <w:tcW w:w="440" w:type="dxa"/>
            <w:vAlign w:val="bottom"/>
            <w:shd w:val="clear" w:color="auto" w:fill="BCDBCF"/>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26948B"/>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tcBorders>
              <w:right w:val="single" w:sz="8" w:color="ECECEC"/>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right w:val="single" w:sz="8" w:color="26948B"/>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9"/>
        </w:trPr>
        <w:tc>
          <w:tcPr>
            <w:tcW w:w="38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005A64"/>
            </w:tcBorders>
          </w:tcPr>
          <w:p>
            <w:pPr>
              <w:spacing w:after="0"/>
              <w:rPr>
                <w:sz w:val="5"/>
                <w:szCs w:val="5"/>
                <w:color w:val="auto"/>
              </w:rPr>
            </w:pPr>
          </w:p>
        </w:tc>
        <w:tc>
          <w:tcPr>
            <w:tcW w:w="100" w:type="dxa"/>
            <w:vAlign w:val="bottom"/>
            <w:tcBorders>
              <w:right w:val="single" w:sz="8" w:color="ECECEC"/>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Borders>
              <w:right w:val="single" w:sz="8" w:color="26948B"/>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ECECEC"/>
            </w:tcBorders>
          </w:tcPr>
          <w:p>
            <w:pPr>
              <w:spacing w:after="0"/>
              <w:rPr>
                <w:sz w:val="7"/>
                <w:szCs w:val="7"/>
                <w:color w:val="auto"/>
              </w:rPr>
            </w:pPr>
          </w:p>
        </w:tc>
        <w:tc>
          <w:tcPr>
            <w:tcW w:w="60" w:type="dxa"/>
            <w:vAlign w:val="bottom"/>
            <w:tcBorders>
              <w:bottom w:val="single" w:sz="8" w:color="ECECEC"/>
            </w:tcBorders>
          </w:tcPr>
          <w:p>
            <w:pPr>
              <w:spacing w:after="0"/>
              <w:rPr>
                <w:sz w:val="7"/>
                <w:szCs w:val="7"/>
                <w:color w:val="auto"/>
              </w:rPr>
            </w:pPr>
          </w:p>
        </w:tc>
        <w:tc>
          <w:tcPr>
            <w:tcW w:w="420" w:type="dxa"/>
            <w:vAlign w:val="bottom"/>
            <w:tcBorders>
              <w:bottom w:val="single" w:sz="8" w:color="ECECEC"/>
            </w:tcBorders>
          </w:tcPr>
          <w:p>
            <w:pPr>
              <w:spacing w:after="0"/>
              <w:rPr>
                <w:sz w:val="7"/>
                <w:szCs w:val="7"/>
                <w:color w:val="auto"/>
              </w:rPr>
            </w:pPr>
          </w:p>
        </w:tc>
        <w:tc>
          <w:tcPr>
            <w:tcW w:w="440" w:type="dxa"/>
            <w:vAlign w:val="bottom"/>
            <w:tcBorders>
              <w:bottom w:val="single" w:sz="8" w:color="ECECEC"/>
            </w:tcBorders>
          </w:tcPr>
          <w:p>
            <w:pPr>
              <w:spacing w:after="0"/>
              <w:rPr>
                <w:sz w:val="7"/>
                <w:szCs w:val="7"/>
                <w:color w:val="auto"/>
              </w:rPr>
            </w:pPr>
          </w:p>
        </w:tc>
        <w:tc>
          <w:tcPr>
            <w:tcW w:w="420" w:type="dxa"/>
            <w:vAlign w:val="bottom"/>
            <w:tcBorders>
              <w:bottom w:val="single" w:sz="8" w:color="ECECEC"/>
            </w:tcBorders>
          </w:tcPr>
          <w:p>
            <w:pPr>
              <w:spacing w:after="0"/>
              <w:rPr>
                <w:sz w:val="7"/>
                <w:szCs w:val="7"/>
                <w:color w:val="auto"/>
              </w:rPr>
            </w:pPr>
          </w:p>
        </w:tc>
        <w:tc>
          <w:tcPr>
            <w:tcW w:w="440" w:type="dxa"/>
            <w:vAlign w:val="bottom"/>
            <w:tcBorders>
              <w:bottom w:val="single" w:sz="8" w:color="ECECEC"/>
            </w:tcBorders>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Borders>
              <w:bottom w:val="single" w:sz="8" w:color="26948B"/>
            </w:tcBorders>
          </w:tcPr>
          <w:p>
            <w:pPr>
              <w:spacing w:after="0"/>
              <w:rPr>
                <w:sz w:val="7"/>
                <w:szCs w:val="7"/>
                <w:color w:val="auto"/>
              </w:rPr>
            </w:pPr>
          </w:p>
        </w:tc>
        <w:tc>
          <w:tcPr>
            <w:tcW w:w="80" w:type="dxa"/>
            <w:vAlign w:val="bottom"/>
            <w:tcBorders>
              <w:bottom w:val="single" w:sz="8" w:color="26948B"/>
              <w:right w:val="single" w:sz="8" w:color="26948B"/>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For further details about BioNTech’s rights, see quarterly reports on BioNTech’s website.</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FixVac platform is fully owned by BioNTech. The BNT111 and BNT116 Phase 2 trials are jointly conducted with Regeneron as part of a cost-sharing strategic collaboration.</w:t>
      </w:r>
    </w:p>
    <w:p>
      <w:pPr>
        <w:spacing w:after="0" w:line="62"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A member of the Roche group.</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ongoing in China only.</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 of a Phase 2/3 clinical trial.</w:t>
      </w:r>
    </w:p>
    <w:p>
      <w:pPr>
        <w:spacing w:after="0" w:line="62"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is currently being conducted by or on behalf of BioNTech. Bristol Myers Squibb holds co-exclusive rights to pumitamig.</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Coalition for Epidemic Preparedness Innovations.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Oncology Programs</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Since our founding, we have been a multi-technology company. We believe that by combining complementary treatment modalities, we can leverage the potential of each technology to provide precise and personalized treatments to patients. Such treatments, if approved, could both increase the likelihood of therapeutic success and reduce the risk of therapeutic resistance. By building a diverse toolkit and clinical portfolio with synergistic mechanisms of action, we aim to exploit the potential of our technologies.</w:t>
      </w:r>
    </w:p>
    <w:p>
      <w:pPr>
        <w:spacing w:after="0" w:line="23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From our diverse clinical portfolio, we have identified two high-priority programs with pan-tumor potential and programs that we believe will enable us to realize our vision of addressing the full continuum of cancer: first, our mRNA cancer immunotherapy programs, iNeST and FixVac, which we believe are particularly suited for early-stage or low tumor burden cancers; and second, our late-stage clinical asset pumitamig (also known as BNT327 or BMS986545), an investigational bispecific antibody targeting PD-L1 and VEGF-A. We believe that pumitamig has the potential to become a next-generation immuno-oncology treatment backbone suitable for a broad range of cancers.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iNeST and FixVac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Autogene Cevumeran (BNT122/RO7198457), an Individualized Neoantigen Specific Immunotherapy, or iNeST</w:t>
      </w:r>
    </w:p>
    <w:p>
      <w:pPr>
        <w:spacing w:after="0" w:line="14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Autogene cevumeran is an investigational individualized cancer immunotherapy based on specific neoantigens that are present on a patient’s tumor. As to our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programs, our iNeST approach is also based on pharmacologically optimized uridine mRNA, or uRNA, delivered in our proprietary RNA-LPX formulation. The RNA-LPX is designed to deliver RNA to dendritic cells, or DCs, the antigen-presenting cells in the lymphoid organs that are crucial for the initiation of adaptive immune responses, and protects RNA from degradation by RNAse. iNeST candidates are informed by the mutation profile of a patient’s individual tumor and manufactured on-demand. The RNA encodes a unique composition of neoantigens selected on a patient-by-patient basis and results in generation of</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37</w:t>
      </w:r>
    </w:p>
    <w:p>
      <w:pPr>
        <w:sectPr>
          <w:pgSz w:w="11900" w:h="16838" w:orient="portrait"/>
          <w:cols w:equalWidth="0" w:num="1">
            <w:col w:w="11240"/>
          </w:cols>
          <w:pgMar w:left="320" w:top="167" w:right="339" w:bottom="1440" w:gutter="0" w:footer="0" w:header="0"/>
          <w:type w:val="continuous"/>
        </w:sectPr>
      </w:pPr>
    </w:p>
    <w:bookmarkStart w:id="45" w:name="page46"/>
    <w:bookmarkEnd w:id="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neoantigen specific CD4+ and CD8+ T cell responses against the respective neoantigens. The aim of this approach is to generate and amplify anti-tumor immune responses and thus broaden the spectrum of tumor targets that can be recognized by the immune system, which is a prerequisite for clinical activity.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Colorectal Cancer, or CRC</w:t>
      </w:r>
    </w:p>
    <w:p>
      <w:pPr>
        <w:spacing w:after="0" w:line="146"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open-label Phase 2 clinical trial (BNT122-01; NCT04486378) is being conducted to evaluate autogene cevumeran as an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adjuvant treatment of circulating tumor DNA, or ctDNA, positive, surgically resected Stage II (high risk)/Stage III CRC. The trial is expected to enroll about 327 patients to evaluate the efficacy of autogene cevumeran compared to watchful waiting after surgery and chemotherapy, which is the current standard of care for these high-risk patients. The primary endpoint for the trial is disease-free survival, or DFS. Secondary objectives include OS and safety.</w:t>
      </w:r>
    </w:p>
    <w:p>
      <w:pPr>
        <w:spacing w:after="0" w:line="200" w:lineRule="exact"/>
        <w:rPr>
          <w:sz w:val="20"/>
          <w:szCs w:val="20"/>
          <w:color w:val="auto"/>
        </w:rPr>
      </w:pPr>
    </w:p>
    <w:p>
      <w:pPr>
        <w:spacing w:after="0" w:line="295" w:lineRule="exact"/>
        <w:rPr>
          <w:sz w:val="20"/>
          <w:szCs w:val="20"/>
          <w:color w:val="auto"/>
        </w:rPr>
      </w:pPr>
    </w:p>
    <w:p>
      <w:pPr>
        <w:ind w:left="220" w:hanging="204"/>
        <w:spacing w:after="0" w:line="31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 the first pre-specified interim analysis of the ongoing BNT122-01 Phase 2 clinical trial (NCT04486378) evaluating autogene cevumeran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(BNT122/RO7198457), an individualized neoantigen specific immunotherapy candidate, for the adjuvant treatment of patients with ctDNA-positive, resected Stage II (high risk) and Stage III colorectal cancer, the futility boundary has been crossed. The interim analysis was reviewed by an independent Data and Safety Monitoring Board, or DSMB, which is responsible for overseeing the safety and integrity of the trial. While DSMB considered autogene cevumeran to be generally well tolerated with no new safety signals identified, it also indicated that the data is not yet mature enough to draw reliable conclusions about efficacy. Specifically, the median follow-up time for participants at the time of the analysis was approximately nine months, which is insufficient to evaluate the trial’s primary endpoint. This assessment is consistent with recently published data from a study by Nakamura et al. (2024), which showed that a majority of patients with ctDNA-positive colorectal cancer experience disease recurrence within 24 months after surgery. Based on this assessment, interim data will not be disclosed at this time ensuring the integrity of the ongoing trial and avoiding premature interpretation of the results. The sponsor will remain masked and continue the trial in accordance with the protocol in order to allow for a comprehensive and mature assessment of the treatment’s efficacy at the final analysis of the trial. We expect an update from the ongoing Phase 2 trial in Stage II (high-risk)/ Stage III ctDNA+ adjuvant CRC in early 2026.</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High-risk Muscle-invasive Urothelial Carcinoma, or MIUC</w:t>
      </w:r>
    </w:p>
    <w:p>
      <w:pPr>
        <w:spacing w:after="0" w:line="146"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(IMCODE-004; NCT06534983) is being conducted to evaluate autogene cevumeran as an adjuvant treatment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nivolumab in patients with high-risk MIUC. The trial aims to enroll approximately 362 patients to evaluate the efficacy of autogene cevumeran in combination with nivolumab compared to nivolumab alone. The primary endpoint for the trial is investigator-assessed DFS. Secondary endpoints include OS and safety.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Adjuvant Pancreatic Ductal Adenocarcinoma, or PDAC</w:t>
      </w:r>
    </w:p>
    <w:p>
      <w:pPr>
        <w:spacing w:after="0" w:line="14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(IMCODE003; NCT05968326) is being conducted to evaluate autogene cevumeran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atezolizumab followed by standard-of-care chemotherapy (mFOLFIRINOX) in patients with resected PDAC compared to chemotherapy alone. The Phase 2 trial is expected to enroll 260 patients with resected PDAC who have not received prior systemic anti-cancer treatment and showed no evidence of disease after surgery. The primary endpoint is DFS. Secondary endpoints include OS and safety.</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38</w:t>
            </w:r>
          </w:p>
        </w:tc>
      </w:tr>
    </w:tbl>
    <w:p>
      <w:pPr>
        <w:sectPr>
          <w:pgSz w:w="11900" w:h="16838" w:orient="portrait"/>
          <w:cols w:equalWidth="0" w:num="1">
            <w:col w:w="11240"/>
          </w:cols>
          <w:pgMar w:left="320" w:top="167" w:right="339" w:bottom="1440" w:gutter="0" w:footer="0" w:header="0"/>
        </w:sectPr>
      </w:pPr>
    </w:p>
    <w:bookmarkStart w:id="46" w:name="page47"/>
    <w:bookmarkEnd w:id="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First-line Advanced Melanoma</w:t>
      </w:r>
    </w:p>
    <w:p>
      <w:pPr>
        <w:spacing w:after="0" w:line="146"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IMCODE001 (NCT03815058) trial was the first randomized Phase 2 clinical trial with an iNeST-based candidate as part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broader IMCODE study program. The trial evaluated the efficacy and safety of autogene cevumeran in combination with pembrolizumab versus pembrolizumab alone as a potential first-line treatment for patients with previously untreated advanced melanoma. The primary endpoint was progression free survival, or PFS, and was events-based. Secondary endpoints included OS, ORR, DOR and safety. In January 2025, the IMCODE001 trial was completed.</w:t>
      </w:r>
    </w:p>
    <w:p>
      <w:pPr>
        <w:spacing w:after="0" w:line="200" w:lineRule="exact"/>
        <w:rPr>
          <w:sz w:val="20"/>
          <w:szCs w:val="20"/>
          <w:color w:val="auto"/>
        </w:rPr>
      </w:pPr>
    </w:p>
    <w:p>
      <w:pPr>
        <w:spacing w:after="0" w:line="295" w:lineRule="exact"/>
        <w:rPr>
          <w:sz w:val="20"/>
          <w:szCs w:val="20"/>
          <w:color w:val="auto"/>
        </w:rPr>
      </w:pPr>
    </w:p>
    <w:p>
      <w:pPr>
        <w:ind w:left="220" w:hanging="204"/>
        <w:spacing w:after="0" w:line="319"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2025, topline results of the primary analysis were disclosed. While the initial data of the primary analysis support the findings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across the broader autogene cevumeran study program demonstrating that autogene cevumeran can induce and expand high-magnitude and long-lived immune responses against the encoded neoantigens in this aggressive stage of melanoma, the trial did not meet its primary efficacy endpoint of statically significant improvement of PFS in this advanced treatment setting. A numerical trend favoring the combination arm in OS was observed. The combination of autogene cevumeran with PD-L1 checkpoint blockade was well tolerated and adverse events were consistent with the known safety profiles of the individual trial treatments, with no new safety signals observed.</w:t>
      </w:r>
    </w:p>
    <w:p>
      <w:pPr>
        <w:spacing w:after="0" w:line="239" w:lineRule="exact"/>
        <w:rPr>
          <w:sz w:val="20"/>
          <w:szCs w:val="20"/>
          <w:color w:val="auto"/>
        </w:rPr>
      </w:pPr>
    </w:p>
    <w:p>
      <w:pPr>
        <w:ind w:left="220" w:hanging="204"/>
        <w:spacing w:after="0" w:line="31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data from this trial including exploratory endpoints and biomarker correlations were presented at the 2025 European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Society For Medical Oncology, or ESMO, Congress. In addition to the previous disclosure, data showed that autogene cevumeran induced durable immune responses against the encoded neoantigens that persisted for up to 1.5 years after treatment completion in the majority of evaluable patients. In the combination arm, the breadth of immune response correlated with a prolonged PFS. Further translational data showed a trend of improved OS in the combination arm compared to pembrolizumab monotherapy in patients with low tumor mutational burden, a population that usually responds poorly to checkpoint inhibitor treatment, and in tumors where immune-cell PD-L1 was high. These data support the immunological mechanism of our mRNA cancer immunotherapy approach and our therapeutic strategy to pursue autogene cevumeran to address the unmet medical need in the treatment of resectable cancers as well as in adjuvant or minimal residual disease treatment settings. These settings are characterized by lower tumor burden and heterogeneity, alongside higher T cell proficiency, which aligns with the focus of our ongoing randomized Phase 2 trials in colorectal, pancreatic, and bladder cancer.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FixVac</w:t>
      </w:r>
    </w:p>
    <w:p>
      <w:pPr>
        <w:spacing w:after="0" w:line="142"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i w:val="1"/>
          <w:iCs w:val="1"/>
          <w:color w:val="080509"/>
        </w:rPr>
        <w:t xml:space="preserve">FixVac </w:t>
      </w:r>
      <w:r>
        <w:rPr>
          <w:rFonts w:ascii="Times New Roman" w:cs="Times New Roman" w:eastAsia="Times New Roman" w:hAnsi="Times New Roman"/>
          <w:sz w:val="18"/>
          <w:szCs w:val="18"/>
          <w:color w:val="080509"/>
        </w:rPr>
        <w:t>is our fully owned, systemic, off-the-shelf mRNA-based cancer immunotherapy approach, from which we are developing several</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potential first-in-class product candidates.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product candidates contain our optimized uridine-RNA delivered in our proprietary RNA-lipoplex nanoparticles, or RNA-LPX, formulation for intravenous administration. The proprietary RNA-LPX protects the RNA from degradation by RNAse and is designed for RNA delivery into antigen-presenting cells in lymphoid organs body-wide.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39</w:t>
            </w:r>
          </w:p>
        </w:tc>
      </w:tr>
    </w:tbl>
    <w:p>
      <w:pPr>
        <w:sectPr>
          <w:pgSz w:w="11900" w:h="16838" w:orient="portrait"/>
          <w:cols w:equalWidth="0" w:num="1">
            <w:col w:w="11240"/>
          </w:cols>
          <w:pgMar w:left="320" w:top="167" w:right="339" w:bottom="1440" w:gutter="0" w:footer="0" w:header="0"/>
        </w:sectPr>
      </w:pPr>
    </w:p>
    <w:bookmarkStart w:id="47" w:name="page48"/>
    <w:bookmarkEnd w:id="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BNT111 in advanced, refractory/relapsed melanoma</w:t>
      </w:r>
    </w:p>
    <w:p>
      <w:pPr>
        <w:spacing w:after="0" w:line="146"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Phase 2 clinical trial (BNT111-01; NCT04526899) is being conducted in collaboration with Regeneron Pharmaceuticals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 or Regeneron, to evaluate BNT111 in combination with cemiplimab in 184 enrolled patients with 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1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data from this trial were presented at the 2025 ESMO Congress. As previously disclosed in August 2024, the trial met its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primary efficacy outcome measure, demonstrating a statistically significant improvement in ORR in patients treated with BNT111 in combination with cemiplimab, as compared to a historical control. The data showed that the combination of BNT111 and cemiplimab induced anti-tumor responses that were deep and durable and a manageable safety profile for BNT111 as a single agent and in combination. Follow up showed a positive impact on long-term survival: 37% of patients were still alive at 24 months, 21% were free of tumor progression. In addition, follow-up data showed a positive trend towards improved long-term survival for the combination of BNT111 and cemiplimab. No further development of BNT111 in advanced melanoma is currently planned.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BNT113 in Human Papilloma Virus 16-positive, or HPV16+, head and neck cancer</w:t>
      </w:r>
    </w:p>
    <w:p>
      <w:pPr>
        <w:spacing w:after="0" w:line="14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randomized Phase 2/3 clinical trial (AHEAD-MERIT; NCT04534205) is being conducted to evaluate BNT113 in combination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pembrolizumab versus pembrolizumab monotherapy as a first-line treatment in patients with unresectable recurrent or metastatic, PD-L1+, HPV16+ head and neck squamous cell carcinoma, or HNSCC.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BNT116 in advanced non-small-cell lung cancer, or NSCLC</w:t>
      </w:r>
    </w:p>
    <w:p>
      <w:pPr>
        <w:spacing w:after="0" w:line="14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Phase 2 clinical trial (EMPOWERVAX Lung 1; NCT05557591) is being conducted in collaboration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Regeneron to evaluate BNT116 in combination with cemiplimab versus cemiplimab alone as first-line treatment of patients with advanced NSCLC whose tumors express PD-L1 in ≥ 50% of their tumor cells. The primary objective of the Phase 2 trial is to assess the ORR per blinded-independent review committee.</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(LuCa-MERIT-1; NCT05142189) is being conducted to evaluate BNT116 as monotherapy and in several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combinations including with chemotherapy, cemiplimab, and some of our proprietary assets across various treatment lines and clinical settings in patients with NSCLC.</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September 2025, data were presented at the IASLC 2025 World Congress on Lung Cancer, or WCLC, from a cohort evaluating BNT116</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combination with cemiplimab as consolidation treatment in patients with NSCLC after receiving concurrent chemoradiotherapy. BNT116 in combination with cemiplimab demonstrated encouraging event-free and overall survival rates and a manageable safety profile.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Pumitamig (BNT327/BMS986545), a Bispecific Antibody Candidate Targeting PD-L1 and VEGF-A</w:t>
      </w:r>
    </w:p>
    <w:p>
      <w:pPr>
        <w:spacing w:after="0" w:line="135"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Pumitamig is a bispecific antibody candidate targeting both PD-L1 and VEGF-A, which was previously being developed in collaboration with Biotheus. In February 2025, we announced the completion of our acquisition of Biotheus. With the acquisition, we obtained full global rights to the late-stage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40</w:t>
            </w:r>
          </w:p>
        </w:tc>
      </w:tr>
    </w:tbl>
    <w:p>
      <w:pPr>
        <w:sectPr>
          <w:pgSz w:w="11900" w:h="16838" w:orient="portrait"/>
          <w:cols w:equalWidth="0" w:num="1">
            <w:col w:w="11240"/>
          </w:cols>
          <w:pgMar w:left="320" w:top="167" w:right="339" w:bottom="1440" w:gutter="0" w:footer="0" w:header="0"/>
        </w:sectPr>
      </w:pPr>
    </w:p>
    <w:bookmarkStart w:id="48" w:name="page49"/>
    <w:bookmarkEnd w:id="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asset pumitamig. In June 2025, we entered into a global co-development and co-commercialization agreement with Bristol Myers Squibb to jointly develop, manufacture and commercialize pumitamig across numerous solid tumor types.</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Pumitamig is currently being evaluated in multiple Phase 2 and Phase 3 global and China-only clinical trials to assess its efficacy and safety as monotherapy or in combination with chemotherapy in various indications. Pumitamig is also being evaluated in combination with next-generation ADC candidates trastuzumab pamirtecan (BNT323/DB-1303), BNT324/DB13-11, BNT325/DB-1305, BNT326/YL202, BNT3212 and in combination with bispecific antibody candidates BNT314/GEN1059 and BNT3213.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Ongoing Phase 3 Clinical Trial in First-Line Extensive-Stage Small Cell Lung Cancer, or ES-SCLC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3 clinical trial (ROSETTA Lung-01; NCT06712355) is being conducted to evaluate pumitamig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compared to atezolizumab in combination with chemotherapy in patients with first-line ES-SCLC.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Second-Line Small-Cell Lung Cancer, or 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clinical trial (NCT06616532) is being conducted in China to evaluate pumitamig in combination with chemotherapy compared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investigator’s choice chemotherapy in patients with second-line 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ES-SCLC</w:t>
      </w:r>
    </w:p>
    <w:p>
      <w:pPr>
        <w:spacing w:after="0" w:line="144"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 clinical trial (NCT06449209) is being conducted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untreated ES-SCLC and in patients with SCLC that progressed after first- or second-line treatment. The trial is fully enrolled and treatment is ongoing.</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September 2025, interim data from this trial were presented at the IASLC 2025 WCLC. The data, which are consistent with data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presented at European Lung Cancer Congress, or ELCC, 2025 from a Phase 2 clinical trial conducted in China (NCT05844150), showed encouraging anti-tumor responses and progression free survival with a positive trend in the secondary endpoint progression free survival. Pumitamig plus chemotherapy demonstrated a manageable safety profile with no new safety signals and a low discontinuation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First-Line ES-SCLC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(NCT05844150) is being conducted in China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first-line ES-SCLC.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(NCT05879068) is being conducted in China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second-line SCLC.</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41</w:t>
            </w:r>
          </w:p>
        </w:tc>
      </w:tr>
    </w:tbl>
    <w:p>
      <w:pPr>
        <w:sectPr>
          <w:pgSz w:w="11900" w:h="16838" w:orient="portrait"/>
          <w:cols w:equalWidth="0" w:num="1">
            <w:col w:w="11240"/>
          </w:cols>
          <w:pgMar w:left="320" w:top="167" w:right="339" w:bottom="1440" w:gutter="0" w:footer="0" w:header="0"/>
        </w:sectPr>
      </w:pPr>
    </w:p>
    <w:bookmarkStart w:id="49" w:name="page50"/>
    <w:bookmarkEnd w:id="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2/3 Clinical Trial in First-Line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2/3 clinical trial (ROSETTA Lung-02; NCT06712316) is being conducted to evaluate pumitamig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compared to pembrolizumab and chemotherapy in patients with first-line NSCLC.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Second-Line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 clinical trial (NCT06841055) is being conducted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second-line NSCLC.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EGFR-mutant Non-Squamous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(NCT05756972) is being conducted in China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EGFR-mutant non-squamous NSCLC who progressed after EGFR-tyrosine kinase inhibitor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Locally Advanced or Metastatic First-Line TNBC</w:t>
      </w:r>
    </w:p>
    <w:p>
      <w:pPr>
        <w:spacing w:after="0" w:line="144"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3 clinical trial (ROSETTA Breast-01; NCT07173751) evaluating pumitamig in combination with chemotherapy compared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chemotherapy alone as a first-line treatment in patients with PD-L1 combined positive score, or CPS, ≤ 10 TNBC is expected to start by the end of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3 Clinical Trial in Locally Advanced or Metastatic First-Line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3 clinical trial (NCT06419621) is being conducted in China to evaluate pumitamig in combination with chemotherapy compared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chemotherapy alone in patients with first-line locally advanced or metastatic TNBC.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Locally Advanced or Metastatic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 clinical trial (NCT06449222) is being conducted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first- and second-line locally advanced or metastatic TNBC. Data from this trial is expected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1/2 Clinical Trial in Locally Advanced/Metastatic TNBC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(NCT05918133) is being conducted in China to evaluate pumitamig in combination with chemotherapy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with locally advanced or metastatic TNBC without previous systematic treatment.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2/3 Clinical Trial in Metastatic First-Line CRC</w:t>
      </w:r>
    </w:p>
    <w:p>
      <w:pPr>
        <w:spacing w:after="0" w:line="144"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2/3 clinical trial (ROSETTA CRC-203; NCT07221357) in patients with first-line MSS, MSI-L/pMMR metastatic CRC is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planned.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Metastatic First-Line CRC</w:t>
      </w:r>
    </w:p>
    <w:p>
      <w:pPr>
        <w:spacing w:after="0" w:line="144"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August 2025, the first patient was dosed in a Phase 2 clinical trial (NCT07133750) being conducted in China to evaluate pumitamig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chemotherapy in patients with first line microsatellite stable, or MSS, or Microsatellite Instability-Low and Proficient Mismatch Repair, or MSI-L/pMMR, metastatic colorectal cancer.</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42</w:t>
            </w:r>
          </w:p>
        </w:tc>
      </w:tr>
    </w:tbl>
    <w:p>
      <w:pPr>
        <w:sectPr>
          <w:pgSz w:w="11900" w:h="16838" w:orient="portrait"/>
          <w:cols w:equalWidth="0" w:num="1">
            <w:col w:w="11240"/>
          </w:cols>
          <w:pgMar w:left="320" w:top="167" w:right="339" w:bottom="1440" w:gutter="0" w:footer="0" w:header="0"/>
        </w:sectPr>
      </w:pPr>
    </w:p>
    <w:bookmarkStart w:id="50" w:name="page51"/>
    <w:bookmarkEnd w:id="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2/3 Clinical Trial in Metastatic First-Line Gastric Cancer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Phase 2/3 clinical trial (ROSETTA Gastric-204; NCT07221149) in patients with first-line metastatic gastric cancer is planned.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Malignant Mesothelioma</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(NCT05918107) is being conducted in China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first-line malignant mesothelioma.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Neuroendocrine Neoplasm, or NEN</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(NCT05879055) is being conducted in China to evaluate pumitamig in combination with chemotherapy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second-line NEN.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Phase 2 Clinical Trial in Hepatocellular Carcinoma, or HCC</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(NCT05864105) is being conducted in China to evaluate pumitamig in combination with chemotherapy as a first-line treatment for unresectable HCC.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Ongoing Phase 1/2 Clinical Trial in Advanced Solid Tumors</w:t>
      </w:r>
    </w:p>
    <w:p>
      <w:pPr>
        <w:spacing w:after="0" w:line="144"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(NCT05918445) is being conducted in China to evaluate pumitamig as a monotherapy in patients with advanced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solid tumors.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have initiated several signal-seeking clinical trials to evaluate pumitamig with some of our proprietary novel assets in our portfolio: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Trastuzumab Pamirtecan (BNT323/DB-1303) Phase 1/2 Clinical Trial in Advanced/Metastatic Breast Cancer</w:t>
      </w:r>
    </w:p>
    <w:p>
      <w:pPr>
        <w:spacing w:after="0" w:line="144"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(NCT06827236) is being conducted to evaluate trastuzumab pamirtecan in combination with pumitamig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with hormone receptor-positive (HR+) or hormone receptor-negative (HR-), human epidermal growth factor (HER)2-low, ultra-low, or null advanced metastatic breast cancer or TNBC.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1/2 Clinical Trial in Advanced Lung Cancers</w:t>
      </w:r>
    </w:p>
    <w:p>
      <w:pPr>
        <w:spacing w:after="0" w:line="22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(NCT06892548) is being conducted to evaluate BNT324/DB-1311 in combination with pumitamig in patients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advanced lung cancers.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was presented at the IASLC 2025 WCLC.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BNT324/DB-1311 Phase 2 Clinical Trial in Advanced/Metastatic Solid Tumors</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July 2025, the first patient was dosed in a Phase 2 clinical trial (NCT06953089) evaluating BNT324/DB-1311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pumitamig or with TROP2 ADC candidate BNT325/DB-1305 in patients with advanced solid tumors.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BNT325/DB-1305 Phase 1/2 Clinical Trial in Advanced Solid Tumors</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(NCT05438329) is being conducted to evaluate BNT325/DB-1305 in patients with advanced solid tumors. As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part of this clinical trial, pumitamig is being evaluated in combination with BNT325/DB-1305 in various solid tumor indications.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43</w:t>
            </w:r>
          </w:p>
        </w:tc>
      </w:tr>
    </w:tbl>
    <w:p>
      <w:pPr>
        <w:sectPr>
          <w:pgSz w:w="11900" w:h="16838" w:orient="portrait"/>
          <w:cols w:equalWidth="0" w:num="1">
            <w:col w:w="11220"/>
          </w:cols>
          <w:pgMar w:left="320" w:top="167" w:right="359" w:bottom="1440" w:gutter="0" w:footer="0" w:header="0"/>
        </w:sectPr>
      </w:pPr>
    </w:p>
    <w:bookmarkStart w:id="51" w:name="page52"/>
    <w:bookmarkEnd w:id="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BNT326/YL202 Phase 1/2 Clinical Trial in Advanced Solid Tumors</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August 2025, the first patient was dosed in a Phase 1/2 clinical trial (NCT07070232) to evaluate BNT326/YL202 as monotherapy and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pumitamig in advanced solid tumors.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BNT326/YL202 Phase 1/2 Clinical Trial in Advanced NSCLC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the first patient was dosed in a Phase 1/2 clinical trial (NCT07111520) to evaluate BNT326/YL202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pumitamig in advanced NSCLC.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BNT314/GEN1059 Phase 1/2 Clinical Trial in Advanced/Metastatic colorectal cancer</w:t>
      </w:r>
    </w:p>
    <w:p>
      <w:pPr>
        <w:spacing w:after="0" w:line="144"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August 2025, the first patient was dosed in a Phase 1/2 clinical trial (NCT07079631) to evaluate BNT314/GEN1059 in combination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pumitamig and chemotherapy in patients with advanced colorectal cancer.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BNT3212 Phase 1/2 Clinical Trial in Advanced Solid Tumors</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(NCT07147348) is being conducted to evaluate BNT3212, a novel bispecific antibody-drug conjugate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targeting EGFR and HER3, for use as monotherapy and in combination with pumitamig in patients with advanced solid tumors.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Combination with BNT3213 Phase 1/2 Clinical Trial in First Line HCC</w:t>
      </w:r>
    </w:p>
    <w:p>
      <w:pPr>
        <w:spacing w:after="0" w:line="144"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(NCT06584071) is being conducted in China to evaluate pumitamig in combination with BNT3213, a novel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bispecific antibody candidate targeting TIGIT and PVRIG, in patients with locally advanced or metastatic HCC.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Antibody-Drug Conjugates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Trastuzumab Pamirtecan (BNT323/DB-1303), an ADC in Development in Collaboration with DualityBio</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Trastuzumab pamirtecan is a topoisomerase-1 inhibitor-based ADC directed against Human Epidermal Growth Factor Receptor 2, or HER2, a target that is over-expressed in a variety of cancers and contributes to the aggressive growth and spread of cancer cells. The program received Fast Track Designation and Breakthrough Therapy designation from the FDA for advanced endometrial cancer.</w:t>
      </w:r>
    </w:p>
    <w:p>
      <w:pPr>
        <w:spacing w:after="0" w:line="231" w:lineRule="exact"/>
        <w:rPr>
          <w:sz w:val="20"/>
          <w:szCs w:val="20"/>
          <w:color w:val="auto"/>
        </w:rPr>
      </w:pPr>
    </w:p>
    <w:p>
      <w:pPr>
        <w:ind w:left="220" w:hanging="204"/>
        <w:spacing w:after="0" w:line="32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multi-site, open-label, pivotal Phase 3 clinical trial (DYNASTY-Breast02; NCT06018337) is being conducted to evaluate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trastuzumab pamirtecan compared to investigator’s choice of chemotherapy in advanced or metastatic HR+, HER2-low breast cancer subjects whose disease has progressed on at least two lines of prior endocrine therapy or within six months of first-line endocrine therapy and cyclin-dependent 4/6, or CDK4/6, inhibitor and no prior chemotherapy. The trial aims to enroll approximately 532 patients. The primary endpoint is PFS. Secondary endpoints include OS, ORR, DCR, DOR and safety, as well as patient-reported outcomes. Data are expected in 2026.</w:t>
      </w:r>
    </w:p>
    <w:p>
      <w:pPr>
        <w:spacing w:after="0" w:line="200" w:lineRule="exact"/>
        <w:rPr>
          <w:sz w:val="20"/>
          <w:szCs w:val="20"/>
          <w:color w:val="auto"/>
        </w:rPr>
      </w:pPr>
    </w:p>
    <w:p>
      <w:pPr>
        <w:spacing w:after="0" w:line="301"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non-randomized, open-label, multiple dose, first-in-human Phase 1/2 clinical trial (NCT05150691)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trastuzumab pamirtecan in patients with advanced/unresectable, recurrent, or metastatic HER2-expressing solid tumors. A potential registrational cohort with HER2-expressing (IHC3+, 2+, 1+ or ISH-positive) patients with advanced/recurrent endometrial cancer has completed enrollment. Data from this cohort are expected in</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44</w:t>
            </w:r>
          </w:p>
        </w:tc>
      </w:tr>
    </w:tbl>
    <w:p>
      <w:pPr>
        <w:sectPr>
          <w:pgSz w:w="11900" w:h="16838" w:orient="portrait"/>
          <w:cols w:equalWidth="0" w:num="1">
            <w:col w:w="11240"/>
          </w:cols>
          <w:pgMar w:left="320" w:top="167" w:right="339" w:bottom="1440" w:gutter="0" w:footer="0" w:header="0"/>
        </w:sectPr>
      </w:pPr>
    </w:p>
    <w:bookmarkStart w:id="52" w:name="page53"/>
    <w:bookmarkEnd w:id="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2026. We and DualityBio continue discussions with the FDA and now plan to file a biologics license application, or BLA, in second line endometrial cancer in 2026, subject to regulatory feedback.</w:t>
      </w:r>
    </w:p>
    <w:p>
      <w:pPr>
        <w:spacing w:after="0" w:line="217"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September 2025, the first patient was dosed in a Phase 3 trial (NCT06340568) to evaluate trastuzumab pamirtecan compared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investigator’s choice of chemotherapy in patients with advanced endometrial cancer. The trial aims to enroll approximately 504 patients. The primary endpoint is PFS. Secondary endpoints include OS, ORR, DOR and safety.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BNT324/DB-1311, an ADC in Development in Collaboration with DualityBio</w:t>
      </w:r>
    </w:p>
    <w:p>
      <w:pPr>
        <w:spacing w:after="0" w:line="14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BNT324/DB-1311 is a topoisomerase-1 inhibitor-based ADC directed against B7H3. It has received Fast Track Designation from the FDA for the treatment of patients with advanced/unresectable, or metastatic CRPC, who have progressed on or after standard systemic regimens. It has also received Orphan Drug Designation from the FDA for the treatment of patients with advanced or metastatic esophageal squamous cell carcinoma.</w:t>
      </w:r>
    </w:p>
    <w:p>
      <w:pPr>
        <w:spacing w:after="0" w:line="200" w:lineRule="exact"/>
        <w:rPr>
          <w:sz w:val="20"/>
          <w:szCs w:val="20"/>
          <w:color w:val="auto"/>
        </w:rPr>
      </w:pPr>
    </w:p>
    <w:p>
      <w:pPr>
        <w:spacing w:after="0" w:line="28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open-label Phase 1/2 clinical trial (NCT05914116) is being conducted to evaluate BNT324/DB-1311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advanced solid tumors.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BNT325/DB-1305, an ADC in Development in Collaboration with DualityBio</w:t>
      </w:r>
    </w:p>
    <w:p>
      <w:pPr>
        <w:spacing w:after="0" w:line="14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BNT325/DB-1305 is a topoisomerase-1 inhibitor-based ADC directed against TROP2. It has received Fast Track Designation from the FDA for the treatment of patients with PROC, fallopian tube, or primary peritoneal cancer who have received one to three prior systemic treatment regimens.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multi-center, non-randomized, open-label, multiple-dose, first-in-human Phase 1/2 clinical trial (NCT05438329)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BNT325/DB-1305 in patients with advanced solid tumors. As part of this clinical trial, BNT325/DB-1305 is being studied in combination with pumitamig in various solid tumor indications.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data from this trial in patients with pretreated TNBC were presented at the 2025 ESMO Congress. Data showed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to have encouraging durable antitumor activity and a manageable safety profile.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BNT326/YL202, an ADC in Development in Collaboration with MediLink Therapeutics</w:t>
      </w:r>
    </w:p>
    <w:p>
      <w:pPr>
        <w:spacing w:after="0" w:line="14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BNT326/YL202 is a topoisomerase-1 inhibitor-based ADC directed against HER3.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international, open-label, first-in-human Phase 1 clinical trial (NCT05653752) is being conducted to evaluate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BNT326/YL202 as a later-line treatment in patients with locally advanced or metastatic EGFR-mutated NSCLC or HR-positive and HER2-negative breast cancer.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BNT329, an ADC for the Treatment of Advanced Solid Tumors</w:t>
      </w:r>
    </w:p>
    <w:p>
      <w:pPr>
        <w:spacing w:after="0" w:line="146"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BNT329 is a fully owned carbohydrate antigen 19-9, or CA19-9, targeting ADC. CA19-9 is expressed in pancreatic cancers and other solid tumors, plays a role in tumor adhesion and metastasis formation, and is a marker of an aggressive cancer phenotype.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45</w:t>
            </w:r>
          </w:p>
        </w:tc>
      </w:tr>
    </w:tbl>
    <w:p>
      <w:pPr>
        <w:sectPr>
          <w:pgSz w:w="11900" w:h="16838" w:orient="portrait"/>
          <w:cols w:equalWidth="0" w:num="1">
            <w:col w:w="11240"/>
          </w:cols>
          <w:pgMar w:left="320" w:top="167" w:right="339" w:bottom="1440" w:gutter="0" w:footer="0" w:header="0"/>
        </w:sectPr>
      </w:pPr>
    </w:p>
    <w:bookmarkStart w:id="53" w:name="page54"/>
    <w:bookmarkEnd w:id="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(NCT07186842) to evaluate BNT329 in advanced solid tumors is planned.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Other Antibody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BNT316/ONC-392 (gotistobart), an Anti-CTLA-4 Monoclonal Antibody Candidate in Development in Collaboration with OncoC4</w:t>
      </w:r>
    </w:p>
    <w:p>
      <w:pPr>
        <w:spacing w:after="0" w:line="14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Gotistobart (BNT316/ONC-392) is an anti-cytotoxic T-lymphocyte associated protein 4, or CTLA-4, monoclonal antibody candidate being developed in collaboration with OncoC4. CTLA-4 is a molecule that is highly expressed by regulatory T cells in the tumor microenvironment where it inhibits T-cell immune response and reduces the activity of T cells in recognizing and eliminating cancer cells. Gotistobart is designed to offer higher anti-tumor efficacy and a differentiated safety profile that may allow for higher dosing and longer duration of treatment both as monotherapy and in combination with other therapies. The program received Fast Track Designation from the FDA in 2022.</w:t>
      </w:r>
    </w:p>
    <w:p>
      <w:pPr>
        <w:spacing w:after="0" w:line="240"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two-stage, open-label, randomized Phase 3 trial (PRESERVE-003; NCT05671510) is being conducted to evaluate the efficacy and safety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gotistobart as monotherapy in patients with metastatic squamous NSCLC that progressed under previous platinum-based chemotherapy and PD-(L)1-inhibitor treatment. A trial-in-progress poster was presented at the IASLC 2025 WCLC.</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China’s National Medical Product Administration (NMPA) granted Breakthrough Therapy Designation for gotistobart for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treatment of patients with squamous non-small cell lung cancer (sqNSCLC) who have progressed on prior standard immuno-oncology therapies.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(PRESERVE-004; NCT05446298) is being conducted to evaluate gotistobart in combination with pembrolizumab</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patients with platinum-resistant ovarian cancer, or PROC. The clinical trial is designed to evaluate multiple doses of gotistobart in combination with a fixed dose of pembrolizumab in participants with ovarian cancer who are resistant to platinum-based chemotherapy. The primary endpoints are ORR and safety. Secondary endpoints include DOR, DCR, PFS and OS. The study completed enrollment.</w:t>
      </w:r>
    </w:p>
    <w:p>
      <w:pPr>
        <w:spacing w:after="0" w:line="235"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(PRESERVE-006; NCT05682443) is being conducted to evaluate the safety and efficacy of gotistobart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lutetium Lu-177 vipivotide tetraxetan in patients with metastatic castration-resistant prostate cancer, or mCRPC, who have disease progressed on androgen receptor pathway inhibition. The primary endpoints are PSA50 and safety.</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open-label dose escalation clinical trial (PRESERVE-001; NCT04140526) is being conducted to evaluate gotistobart as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single agent and in combination with pembrolizumab in patients with advanced or metastatic solid tumors.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BNT317, an Antibody for the Treatment of Advanced Solid Tumors</w:t>
      </w:r>
    </w:p>
    <w:p>
      <w:pPr>
        <w:spacing w:after="0" w:line="14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(NCT06750185) is being conducted to evaluate the safety, tolerability, pharmacokinetics, and immunogenicity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BNT317 in participants with advanced solid tumors.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BNT312/GEN1042, BNT314/GEN1059, BNT315/GEN1055 and BNT322/GEN1056 are being developed in collaboration with Genmab</w:t>
      </w:r>
    </w:p>
    <w:p>
      <w:pPr>
        <w:spacing w:after="0" w:line="146"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BNT312/GEN1042 is a novel, agonistic, bispecific antibody candidate that combines targeting and conditional activation of the costimulatory molecules CD40 and 4-1BB on immune cells. The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46</w:t>
            </w:r>
          </w:p>
        </w:tc>
      </w:tr>
    </w:tbl>
    <w:p>
      <w:pPr>
        <w:sectPr>
          <w:pgSz w:w="11900" w:h="16838" w:orient="portrait"/>
          <w:cols w:equalWidth="0" w:num="1">
            <w:col w:w="11240"/>
          </w:cols>
          <w:pgMar w:left="320" w:top="167" w:right="339" w:bottom="1440" w:gutter="0" w:footer="0" w:header="0"/>
        </w:sectPr>
      </w:pPr>
    </w:p>
    <w:bookmarkStart w:id="54" w:name="page55"/>
    <w:bookmarkEnd w:id="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development program for BNT312/GEN1042 in combination with pembrolizumab and chemotherapy beyond the currently ongoing clinical trials has been discontinued. This is due to strategic evaluation of the development program within the context of BioNTech’s and Genmab’s portfolios. The companies reserve the option for future potential combination opportunities with BNT312/GEN1042.</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(NCT04083599) is being conducted to evaluate BNT312/GEN1042 in combination with pembrolizumab with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without chemotherapy across various solid tumors.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(NCT05491317) is being conducted to evaluate the safety and clinical activity of BNT312/GEN1042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radiotherapy with or without pembrolizumab in patients with metastatic solid tumors.</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(NCT06057038) is being conducted in Japan to evaluate the safety, tolerability, pharmacokinetics,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pharmacodynamics and antitumor activity of BNT312/GEN1042 monotherapy and in combination with pembrolizumab with or without chemotherapy in patients with multiple solid tumors.</w:t>
      </w:r>
    </w:p>
    <w:p>
      <w:pPr>
        <w:spacing w:after="0" w:line="23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BNT314/GEN1059 is a potential first-in-class bispecific antibody candidate designed to boost antitumor immune responses through epithelial cell adhesion molecule-, or EpCAM-, dependent 4-1BB agonistic activity.</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(NCT06150183) is being conducted to evaluate the safety and preliminary antitumor activity of BNT314/GEN1059</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patients with advanced or metastatic solid tumors.</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BNT315/GEN1055 is an OX40 agonist antibody candidate designed to induce OX40 clustering independently of FcγR-mediated crosslinking to enhance antitumor T-cell responses. The development program for BNT315/GEN1055 has been discontinued due to strategic evaluation of the development program within the context of BioNTech and Genmab’s portfolios.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(NCT06391775) is being conducted to evaluate the safety and preliminary antitumor activity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BNT315/GEN1055 in patients with advanced or metastatic solid tumors.</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BNT322/GEN1056 is an antibody candidate being co-developed with Genmab for the treatment of solid tumors and for use in combination with other products. The development program for BNT322/GEN1056 has been discontinued due to strategic evaluation of the development program within the context of BioNTech’s and Genmab’s portfolios.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(NCT05586321) is being conducted to evaluate BNT322/GEN1056 in patients with advanced solid tumors.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Additional mRNA Product Candidates in Oncology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BNT142 in multiple solid tumors</w:t>
      </w:r>
    </w:p>
    <w:p>
      <w:pPr>
        <w:spacing w:after="0" w:line="144" w:lineRule="exact"/>
        <w:rPr>
          <w:sz w:val="20"/>
          <w:szCs w:val="20"/>
          <w:color w:val="auto"/>
        </w:rPr>
      </w:pPr>
    </w:p>
    <w:p>
      <w:pPr>
        <w:spacing w:after="0" w:line="347" w:lineRule="auto"/>
        <w:rPr>
          <w:sz w:val="20"/>
          <w:szCs w:val="20"/>
          <w:color w:val="auto"/>
        </w:rPr>
      </w:pPr>
      <w:r>
        <w:rPr>
          <w:rFonts w:ascii="Times New Roman" w:cs="Times New Roman" w:eastAsia="Times New Roman" w:hAnsi="Times New Roman"/>
          <w:sz w:val="18"/>
          <w:szCs w:val="18"/>
          <w:color w:val="080509"/>
        </w:rPr>
        <w:t xml:space="preserve">BNT142 is a candidate based on BioNTech’s mRNA-based </w:t>
      </w:r>
      <w:r>
        <w:rPr>
          <w:rFonts w:ascii="Times New Roman" w:cs="Times New Roman" w:eastAsia="Times New Roman" w:hAnsi="Times New Roman"/>
          <w:sz w:val="18"/>
          <w:szCs w:val="18"/>
          <w:i w:val="1"/>
          <w:iCs w:val="1"/>
          <w:color w:val="080509"/>
        </w:rPr>
        <w:t>RiboMab</w:t>
      </w:r>
      <w:r>
        <w:rPr>
          <w:rFonts w:ascii="Times New Roman" w:cs="Times New Roman" w:eastAsia="Times New Roman" w:hAnsi="Times New Roman"/>
          <w:sz w:val="18"/>
          <w:szCs w:val="18"/>
          <w:color w:val="080509"/>
        </w:rPr>
        <w:t xml:space="preserve"> platform and encodes a T-cell engaging bispecific antibody targeting Claudin 6, or CLDN6, and CD3.</w:t>
      </w:r>
    </w:p>
    <w:p>
      <w:pPr>
        <w:spacing w:after="0" w:line="21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exploratory open-label, multi-site Phase 1/2 clinical trial (NCT05262530) is being conducted to evaluate BNT142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CLDN6-positive advanced solid tumors that have exhausted</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47</w:t>
      </w:r>
    </w:p>
    <w:p>
      <w:pPr>
        <w:sectPr>
          <w:pgSz w:w="11900" w:h="16838" w:orient="portrait"/>
          <w:cols w:equalWidth="0" w:num="1">
            <w:col w:w="11240"/>
          </w:cols>
          <w:pgMar w:left="320" w:top="167" w:right="339" w:bottom="1440" w:gutter="0" w:footer="0" w:header="0"/>
          <w:type w:val="continuous"/>
        </w:sectPr>
      </w:pPr>
    </w:p>
    <w:bookmarkStart w:id="55" w:name="page56"/>
    <w:bookmarkEnd w:id="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available standard therapy or are not eligible for such available therapy with the last patient last visit expected before year-end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BNT152+BNT153 in multiple solid tumors</w:t>
      </w:r>
    </w:p>
    <w:p>
      <w:pPr>
        <w:spacing w:after="0" w:line="144" w:lineRule="exact"/>
        <w:rPr>
          <w:sz w:val="20"/>
          <w:szCs w:val="20"/>
          <w:color w:val="auto"/>
        </w:rPr>
      </w:pPr>
    </w:p>
    <w:p>
      <w:pPr>
        <w:ind w:right="20"/>
        <w:spacing w:after="0" w:line="347" w:lineRule="auto"/>
        <w:rPr>
          <w:sz w:val="20"/>
          <w:szCs w:val="20"/>
          <w:color w:val="auto"/>
        </w:rPr>
      </w:pPr>
      <w:r>
        <w:rPr>
          <w:rFonts w:ascii="Times New Roman" w:cs="Times New Roman" w:eastAsia="Times New Roman" w:hAnsi="Times New Roman"/>
          <w:sz w:val="18"/>
          <w:szCs w:val="18"/>
          <w:color w:val="080509"/>
        </w:rPr>
        <w:t xml:space="preserve">BNT152 and BNT153, are candidates based on BioNTech’s mRNA-based </w:t>
      </w:r>
      <w:r>
        <w:rPr>
          <w:rFonts w:ascii="Times New Roman" w:cs="Times New Roman" w:eastAsia="Times New Roman" w:hAnsi="Times New Roman"/>
          <w:sz w:val="18"/>
          <w:szCs w:val="18"/>
          <w:i w:val="1"/>
          <w:iCs w:val="1"/>
          <w:color w:val="080509"/>
        </w:rPr>
        <w:t>RiboCytokine</w:t>
      </w:r>
      <w:r>
        <w:rPr>
          <w:rFonts w:ascii="Times New Roman" w:cs="Times New Roman" w:eastAsia="Times New Roman" w:hAnsi="Times New Roman"/>
          <w:sz w:val="18"/>
          <w:szCs w:val="18"/>
          <w:color w:val="080509"/>
        </w:rPr>
        <w:t xml:space="preserve"> platform encoding immunostimulatory cytokines to induce and support immune responses targeting cancer cells.</w:t>
      </w:r>
    </w:p>
    <w:p>
      <w:pPr>
        <w:spacing w:after="0" w:line="21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open-label, multi-site, first-in-human Phase 1 clinical trial (NCT04710043) in multiple solid tumor indications to evaluate the safety,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pharmacokinetics, pharmacodynamics and preliminary anti-tumor activity of a combination of BNT152 and BNT153 has been completed.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6. Oncology Cell Therapy Product Candidates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BNT211, a chimeric antigen receptor, or CAR, T-cell therapy – CAR-T - in multiple solid tumors</w:t>
      </w:r>
    </w:p>
    <w:p>
      <w:pPr>
        <w:spacing w:after="0" w:line="146" w:lineRule="exact"/>
        <w:rPr>
          <w:sz w:val="20"/>
          <w:szCs w:val="20"/>
          <w:color w:val="auto"/>
        </w:rPr>
      </w:pPr>
    </w:p>
    <w:p>
      <w:pPr>
        <w:ind w:right="40"/>
        <w:spacing w:after="0" w:line="358" w:lineRule="auto"/>
        <w:rPr>
          <w:sz w:val="20"/>
          <w:szCs w:val="20"/>
          <w:color w:val="auto"/>
        </w:rPr>
      </w:pPr>
      <w:r>
        <w:rPr>
          <w:rFonts w:ascii="Times New Roman" w:cs="Times New Roman" w:eastAsia="Times New Roman" w:hAnsi="Times New Roman"/>
          <w:sz w:val="18"/>
          <w:szCs w:val="18"/>
          <w:color w:val="080509"/>
        </w:rPr>
        <w:t>BNT211 is a novel approach combining an autologous tumor-specific CAR-T cell therapy candidate targeting the oncofetal antigen Claudin-6 (CLDN6) with a CLDN6-encoding CAR-T cell amplifying RNA vaccine (“CARVac”) that is based on BioNTech’s FixVac platform in one regimen.</w:t>
      </w:r>
    </w:p>
    <w:p>
      <w:pPr>
        <w:spacing w:after="0" w:line="200" w:lineRule="exact"/>
        <w:rPr>
          <w:sz w:val="20"/>
          <w:szCs w:val="20"/>
          <w:color w:val="auto"/>
        </w:rPr>
      </w:pPr>
    </w:p>
    <w:p>
      <w:pPr>
        <w:spacing w:after="0" w:line="235"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dose escalation clinical trial (NCT04503278) is being conducted to evaluate BNT211 as monotherapy or in combination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CARVac in patients with CLDN6-positive relapsed or refractory solid tumors, including non-small cell lung cancer, gastric cancer, ovarian cancer and testicular germ cell tumors.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Infectious Disease Programs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goal is to advance our infectious disease programs by developing vaccines and therapeutics for infectious diseases caused by respiratory viruses, latent viruses, bacteria and parasites. We believe our scientific approach and our mRNA technology have the potential to significantly contribute to the fight against global health threats caused by infectious diseases. We have pursued both strategic partnerships and corporate collaborations to partially fund our infectious disease global health programs and aim to continue to do so. Our infectious disease programs aim to contribute to equitable access to effective and well tolerated vaccines for high medical need indications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Next-generation COVID-19 Vaccine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collaboration with Pfizer, we are aiming to develop a vaccine candidate that enhances and broadens SARS-CoV-2 responses.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COVID-19 / Influenza Combination mRNA Vaccine Program – BNT162b2 + BNT161</w:t>
      </w:r>
    </w:p>
    <w:p>
      <w:pPr>
        <w:spacing w:after="0" w:line="14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collaboration with Pfizer clinical trials are being conducted to evaluate the safety, tolerability and immunogenicity of the combination of the companies’ mRNA vaccine candidates against influenza and COVID-19. We will provide updates as the program progresses.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Herpes Simplex Virus, or HSV, Vaccine Program – BNT163</w:t>
      </w:r>
    </w:p>
    <w:p>
      <w:pPr>
        <w:spacing w:after="0" w:line="14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(NCT05432583) is being conducted to evaluate the safety, tolerability and immunogenicity of BNT163 for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prevention of genital lesions caused by HSV-2 and potentially HSV-1 is ongoing.</w:t>
      </w: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48</w:t>
            </w:r>
          </w:p>
        </w:tc>
      </w:tr>
    </w:tbl>
    <w:p>
      <w:pPr>
        <w:sectPr>
          <w:pgSz w:w="11900" w:h="16838" w:orient="portrait"/>
          <w:cols w:equalWidth="0" w:num="1">
            <w:col w:w="11240"/>
          </w:cols>
          <w:pgMar w:left="320" w:top="167" w:right="339" w:bottom="1440" w:gutter="0" w:footer="0" w:header="0"/>
        </w:sectPr>
      </w:pPr>
    </w:p>
    <w:bookmarkStart w:id="56" w:name="page57"/>
    <w:bookmarkEnd w:id="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data from this trial were presented at the 2025 Infectious Disease Week, or IDWeek, congress. The data showed BNT163</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was well-tolerated with an acceptable safety profile and induced binding antibody and neutralizing titers to HSV-2 antigens.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Tuberculosis Vaccine Program – BNT164</w:t>
      </w:r>
    </w:p>
    <w:p>
      <w:pPr>
        <w:spacing w:after="0" w:line="148"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(NCT05537038) and a separate Phase 1/2 clinical trial (NCT05547464) are being conducted to evaluate BNT164.</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the Phase 1 and Phase 1/2 clinical trials are designed to assess the safety, reactogenicity, and immunogenicity of mRNA vaccine candidates against tuberculosis disease.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Malaria Vaccine Program – BNT165</w:t>
      </w:r>
    </w:p>
    <w:p>
      <w:pPr>
        <w:spacing w:after="0" w:line="148"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trial (NCT06069544) to evaluate the safety, tolerability, immunogenicity and efficacy of a second investigational RNA-based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candidate is on clinical hold by the U.S. FDA, as announced on March 4, 2025. BioNTech has complied with the hold by the FDA and, in accordance with the clinical trial protocol, had proactively paused the study. BioNTech is taking actions to address the FDA’s requests and will work with the FDA to assess next steps.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6. Mpox Vaccine Program – BNT166</w:t>
      </w:r>
    </w:p>
    <w:p>
      <w:pPr>
        <w:spacing w:after="0" w:line="14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trial clinical trial (NCT05988203) is being conducted to evaluate the safety, tolerability, reactogenicity and immunogenicity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two mRNA-based multivalent vaccine candidates.</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October 2025, data from the Phase 1 portion of this trial were presented at the 2025 IDWeek congress. The data showed that BNT166</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was well-tolerated and induced multiantigen-directed antibodies with cross-mpox virus clade and cross-orthopoxvirus neutralization activity in vaccinia virus-naïve and experienced participants.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7. Shingles Vaccine Program – BNT167</w:t>
      </w:r>
    </w:p>
    <w:p>
      <w:pPr>
        <w:spacing w:after="0" w:line="14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(NCT05703607) is being conducted to evaluate the safety, tolerability, and immunogenicity of BNT167 in up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900 healthy volunteers 50 through 69 years of age.</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we and Pfizer have decided to opt-out of the further development of BNT167. Next steps for the wind-down of the program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further advancement of this asset are being considered by BioNTech and Pfizer in accordance with the terms of the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8. Bacterial Vaginosis – BNT331</w:t>
      </w:r>
    </w:p>
    <w:p>
      <w:pPr>
        <w:spacing w:after="0" w:line="14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(NCT06469164) conducted to evaluate the safety, tolerability, pharmacokinetics, and pharmacodynamics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BNT331 in healthy women and women diagnosed with bacterial vaginosis has been completed. The trial also aimed to explore the efficacy of BNT331 in women diagnosed with bacterial vaginosis.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49</w:t>
            </w:r>
          </w:p>
        </w:tc>
      </w:tr>
    </w:tbl>
    <w:p>
      <w:pPr>
        <w:sectPr>
          <w:pgSz w:w="11900" w:h="16838" w:orient="portrait"/>
          <w:cols w:equalWidth="0" w:num="1">
            <w:col w:w="11240"/>
          </w:cols>
          <w:pgMar w:left="320" w:top="167" w:right="339" w:bottom="1440" w:gutter="0" w:footer="0" w:header="0"/>
        </w:sectPr>
      </w:pPr>
    </w:p>
    <w:bookmarkStart w:id="57" w:name="page58"/>
    <w:bookmarkEnd w:id="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Operations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100" w:type="dxa"/>
            <w:vAlign w:val="bottom"/>
          </w:tcPr>
          <w:p>
            <w:pPr>
              <w:spacing w:after="0"/>
              <w:rPr>
                <w:sz w:val="16"/>
                <w:szCs w:val="16"/>
                <w:color w:val="auto"/>
              </w:rPr>
            </w:pPr>
          </w:p>
        </w:tc>
        <w:tc>
          <w:tcPr>
            <w:tcW w:w="19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40" w:type="dxa"/>
            <w:vAlign w:val="bottom"/>
            <w:tcBorders>
              <w:bottom w:val="single" w:sz="8" w:color="BECE33"/>
            </w:tcBorders>
            <w:gridSpan w:val="2"/>
          </w:tcPr>
          <w:p>
            <w:pPr>
              <w:spacing w:after="0"/>
              <w:rPr>
                <w:sz w:val="13"/>
                <w:szCs w:val="13"/>
                <w:color w:val="auto"/>
              </w:rPr>
            </w:pPr>
          </w:p>
        </w:tc>
        <w:tc>
          <w:tcPr>
            <w:tcW w:w="14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tc>
        <w:tc>
          <w:tcPr>
            <w:tcW w:w="180" w:type="dxa"/>
            <w:vAlign w:val="bottom"/>
          </w:tcPr>
          <w:p>
            <w:pPr>
              <w:spacing w:after="0"/>
              <w:rPr>
                <w:sz w:val="22"/>
                <w:szCs w:val="22"/>
                <w:color w:val="auto"/>
              </w:rPr>
            </w:pPr>
          </w:p>
        </w:tc>
        <w:tc>
          <w:tcPr>
            <w:tcW w:w="1400" w:type="dxa"/>
            <w:vAlign w:val="bottom"/>
            <w:tcBorders>
              <w:right w:val="single" w:sz="8" w:color="BECD32"/>
            </w:tcBorders>
            <w:gridSpan w:val="2"/>
          </w:tcPr>
          <w:p>
            <w:pPr>
              <w:ind w:left="52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20" w:type="dxa"/>
            <w:vAlign w:val="bottom"/>
            <w:gridSpan w:val="2"/>
          </w:tcPr>
          <w:p>
            <w:pPr>
              <w:spacing w:after="0"/>
              <w:rPr>
                <w:sz w:val="22"/>
                <w:szCs w:val="22"/>
                <w:color w:val="auto"/>
              </w:rPr>
            </w:pPr>
          </w:p>
        </w:tc>
        <w:tc>
          <w:tcPr>
            <w:tcW w:w="940" w:type="dxa"/>
            <w:vAlign w:val="bottom"/>
            <w:tcBorders>
              <w:right w:val="single" w:sz="8" w:color="BECD32"/>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00" w:type="dxa"/>
            <w:vAlign w:val="bottom"/>
          </w:tcPr>
          <w:p>
            <w:pPr>
              <w:spacing w:after="0"/>
              <w:rPr>
                <w:sz w:val="22"/>
                <w:szCs w:val="22"/>
                <w:color w:val="auto"/>
              </w:rPr>
            </w:pPr>
          </w:p>
        </w:tc>
        <w:tc>
          <w:tcPr>
            <w:tcW w:w="1380" w:type="dxa"/>
            <w:vAlign w:val="bottom"/>
            <w:tcBorders>
              <w:right w:val="single" w:sz="8" w:color="BECD32"/>
            </w:tcBorders>
            <w:gridSpan w:val="2"/>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60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Revenues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1,518.9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1,244.8</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1,962.5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1,561.1</w:t>
            </w:r>
          </w:p>
        </w:tc>
        <w:tc>
          <w:tcPr>
            <w:tcW w:w="0" w:type="dxa"/>
            <w:vAlign w:val="bottom"/>
          </w:tcPr>
          <w:p>
            <w:pPr>
              <w:spacing w:after="0"/>
              <w:rPr>
                <w:sz w:val="1"/>
                <w:szCs w:val="1"/>
                <w:color w:val="auto"/>
              </w:rPr>
            </w:pPr>
          </w:p>
        </w:tc>
      </w:tr>
      <w:tr>
        <w:trPr>
          <w:trHeight w:val="51"/>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Cost of sales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(148.3)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(178.9)</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(308.5)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(297.8)</w:t>
            </w:r>
          </w:p>
        </w:tc>
        <w:tc>
          <w:tcPr>
            <w:tcW w:w="0" w:type="dxa"/>
            <w:vAlign w:val="bottom"/>
          </w:tcPr>
          <w:p>
            <w:pPr>
              <w:spacing w:after="0"/>
              <w:rPr>
                <w:sz w:val="1"/>
                <w:szCs w:val="1"/>
                <w:color w:val="auto"/>
              </w:rPr>
            </w:pPr>
          </w:p>
        </w:tc>
      </w:tr>
      <w:tr>
        <w:trPr>
          <w:trHeight w:val="51"/>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(564.8)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(550.3)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(1,599.5)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(1,642.4)</w:t>
            </w:r>
          </w:p>
        </w:tc>
        <w:tc>
          <w:tcPr>
            <w:tcW w:w="0" w:type="dxa"/>
            <w:vAlign w:val="bottom"/>
          </w:tcPr>
          <w:p>
            <w:pPr>
              <w:spacing w:after="0"/>
              <w:rPr>
                <w:sz w:val="1"/>
                <w:szCs w:val="1"/>
                <w:color w:val="auto"/>
              </w:rPr>
            </w:pPr>
          </w:p>
        </w:tc>
      </w:tr>
      <w:tr>
        <w:trPr>
          <w:trHeight w:val="51"/>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(27.3)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(60.7)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(46.6)</w:t>
            </w:r>
          </w:p>
        </w:tc>
        <w:tc>
          <w:tcPr>
            <w:tcW w:w="0" w:type="dxa"/>
            <w:vAlign w:val="bottom"/>
          </w:tcPr>
          <w:p>
            <w:pPr>
              <w:spacing w:after="0"/>
              <w:rPr>
                <w:sz w:val="1"/>
                <w:szCs w:val="1"/>
                <w:color w:val="auto"/>
              </w:rPr>
            </w:pPr>
          </w:p>
        </w:tc>
      </w:tr>
      <w:tr>
        <w:trPr>
          <w:trHeight w:val="51"/>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(121.2)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(132.4)</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(345.8)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(420.3)</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(729.5)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(410.9)</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(884.7)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(719.9)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56.3</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154.6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103.0</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Operating profit / (loss)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(46.9)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10.5</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(1,082.1)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(1,462.9)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Finance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96.8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156.2</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324.8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498.8</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Finance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(8.0)</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(14.8)</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Profit / (Loss) before tax</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24.7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158.7</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(823.4)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(978.9)</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Income taxes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39.4</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54.1</w:t>
            </w:r>
          </w:p>
        </w:tc>
        <w:tc>
          <w:tcPr>
            <w:tcW w:w="0" w:type="dxa"/>
            <w:vAlign w:val="bottom"/>
          </w:tcPr>
          <w:p>
            <w:pPr>
              <w:spacing w:after="0"/>
              <w:rPr>
                <w:sz w:val="1"/>
                <w:szCs w:val="1"/>
                <w:color w:val="auto"/>
              </w:rPr>
            </w:pPr>
          </w:p>
        </w:tc>
      </w:tr>
      <w:tr>
        <w:trPr>
          <w:trHeight w:val="50"/>
        </w:trPr>
        <w:tc>
          <w:tcPr>
            <w:tcW w:w="5120" w:type="dxa"/>
            <w:vAlign w:val="bottom"/>
            <w:tcBorders>
              <w:bottom w:val="single" w:sz="8" w:color="7FACB1"/>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7FACB1"/>
            </w:tcBorders>
          </w:tcPr>
          <w:p>
            <w:pPr>
              <w:spacing w:after="0"/>
              <w:rPr>
                <w:sz w:val="4"/>
                <w:szCs w:val="4"/>
                <w:color w:val="auto"/>
              </w:rPr>
            </w:pPr>
          </w:p>
        </w:tc>
        <w:tc>
          <w:tcPr>
            <w:tcW w:w="7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Net profit / (loss)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(28.7)</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198.1</w:t>
            </w:r>
          </w:p>
        </w:tc>
        <w:tc>
          <w:tcPr>
            <w:tcW w:w="120" w:type="dxa"/>
            <w:vAlign w:val="bottom"/>
            <w:tcBorders>
              <w:right w:val="single" w:sz="8" w:color="BECD32"/>
            </w:tcBorders>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(831.1)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(924.8)</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3C9673"/>
              </w:rPr>
              <w:t>Earnings / (Loss) per share</w:t>
            </w:r>
          </w:p>
        </w:tc>
        <w:tc>
          <w:tcPr>
            <w:tcW w:w="220" w:type="dxa"/>
            <w:vAlign w:val="bottom"/>
            <w:tcBorders>
              <w:right w:val="single" w:sz="8" w:color="BECD32"/>
            </w:tcBorders>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7FACB1"/>
            </w:tcBorders>
          </w:tcPr>
          <w:p>
            <w:pPr>
              <w:ind w:left="20"/>
              <w:spacing w:after="0"/>
              <w:rPr>
                <w:sz w:val="20"/>
                <w:szCs w:val="20"/>
                <w:color w:val="auto"/>
              </w:rPr>
            </w:pPr>
            <w:r>
              <w:rPr>
                <w:rFonts w:ascii="Times New Roman" w:cs="Times New Roman" w:eastAsia="Times New Roman" w:hAnsi="Times New Roman"/>
                <w:sz w:val="14"/>
                <w:szCs w:val="14"/>
                <w:color w:val="005A64"/>
              </w:rPr>
              <w:t>Basic earnings / (loss) per share</w:t>
            </w:r>
          </w:p>
        </w:tc>
        <w:tc>
          <w:tcPr>
            <w:tcW w:w="220" w:type="dxa"/>
            <w:vAlign w:val="bottom"/>
            <w:tcBorders>
              <w:right w:val="single" w:sz="8" w:color="BECE33"/>
            </w:tcBorders>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(0.12)</w:t>
            </w:r>
          </w:p>
        </w:tc>
        <w:tc>
          <w:tcPr>
            <w:tcW w:w="14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7FACB1"/>
            </w:tcBorders>
          </w:tcPr>
          <w:p>
            <w:pPr>
              <w:spacing w:after="0"/>
              <w:rPr>
                <w:sz w:val="21"/>
                <w:szCs w:val="21"/>
                <w:color w:val="auto"/>
              </w:rPr>
            </w:pPr>
          </w:p>
        </w:tc>
        <w:tc>
          <w:tcPr>
            <w:tcW w:w="8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0.82</w:t>
            </w:r>
          </w:p>
        </w:tc>
        <w:tc>
          <w:tcPr>
            <w:tcW w:w="120" w:type="dxa"/>
            <w:vAlign w:val="bottom"/>
            <w:tcBorders>
              <w:right w:val="single" w:sz="8" w:color="BECE33"/>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(3.45)</w:t>
            </w:r>
          </w:p>
        </w:tc>
        <w:tc>
          <w:tcPr>
            <w:tcW w:w="140" w:type="dxa"/>
            <w:vAlign w:val="bottom"/>
            <w:tcBorders>
              <w:right w:val="single" w:sz="8" w:color="BECE33"/>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7FACB1"/>
            </w:tcBorders>
          </w:tcPr>
          <w:p>
            <w:pPr>
              <w:spacing w:after="0"/>
              <w:rPr>
                <w:sz w:val="21"/>
                <w:szCs w:val="21"/>
                <w:color w:val="auto"/>
              </w:rPr>
            </w:pPr>
          </w:p>
        </w:tc>
        <w:tc>
          <w:tcPr>
            <w:tcW w:w="76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(3.83)</w:t>
            </w:r>
          </w:p>
        </w:tc>
        <w:tc>
          <w:tcPr>
            <w:tcW w:w="0" w:type="dxa"/>
            <w:vAlign w:val="bottom"/>
          </w:tcPr>
          <w:p>
            <w:pPr>
              <w:spacing w:after="0"/>
              <w:rPr>
                <w:sz w:val="1"/>
                <w:szCs w:val="1"/>
                <w:color w:val="auto"/>
              </w:rPr>
            </w:pPr>
          </w:p>
        </w:tc>
      </w:tr>
      <w:tr>
        <w:trPr>
          <w:trHeight w:val="200"/>
        </w:trPr>
        <w:tc>
          <w:tcPr>
            <w:tcW w:w="5120" w:type="dxa"/>
            <w:vAlign w:val="bottom"/>
            <w:tcBorders>
              <w:top w:val="single" w:sz="8" w:color="7FACB1"/>
            </w:tcBorders>
          </w:tcPr>
          <w:p>
            <w:pPr>
              <w:ind w:left="20"/>
              <w:spacing w:after="0"/>
              <w:rPr>
                <w:sz w:val="20"/>
                <w:szCs w:val="20"/>
                <w:color w:val="auto"/>
              </w:rPr>
            </w:pPr>
            <w:r>
              <w:rPr>
                <w:rFonts w:ascii="Times New Roman" w:cs="Times New Roman" w:eastAsia="Times New Roman" w:hAnsi="Times New Roman"/>
                <w:sz w:val="14"/>
                <w:szCs w:val="14"/>
                <w:color w:val="005A64"/>
              </w:rPr>
              <w:t>Diluted earnings / (loss) per share</w:t>
            </w:r>
          </w:p>
        </w:tc>
        <w:tc>
          <w:tcPr>
            <w:tcW w:w="220" w:type="dxa"/>
            <w:vAlign w:val="bottom"/>
            <w:tcBorders>
              <w:right w:val="single" w:sz="8" w:color="BECD32"/>
            </w:tcBorders>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(0.12)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7FACB1"/>
            </w:tcBorders>
          </w:tcPr>
          <w:p>
            <w:pPr>
              <w:spacing w:after="0"/>
              <w:rPr>
                <w:sz w:val="17"/>
                <w:szCs w:val="17"/>
                <w:color w:val="auto"/>
              </w:rPr>
            </w:pPr>
          </w:p>
        </w:tc>
        <w:tc>
          <w:tcPr>
            <w:tcW w:w="82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0.81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(3.45)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7FACB1"/>
            </w:tcBorders>
          </w:tcPr>
          <w:p>
            <w:pPr>
              <w:spacing w:after="0"/>
              <w:rPr>
                <w:sz w:val="17"/>
                <w:szCs w:val="17"/>
                <w:color w:val="auto"/>
              </w:rPr>
            </w:pPr>
          </w:p>
        </w:tc>
        <w:tc>
          <w:tcPr>
            <w:tcW w:w="760" w:type="dxa"/>
            <w:vAlign w:val="bottom"/>
            <w:tcBorders>
              <w:top w:val="single" w:sz="8" w:color="7FACB1"/>
            </w:tcBorders>
          </w:tcPr>
          <w:p>
            <w:pPr>
              <w:jc w:val="right"/>
              <w:spacing w:after="0"/>
              <w:rPr>
                <w:sz w:val="20"/>
                <w:szCs w:val="20"/>
                <w:color w:val="auto"/>
              </w:rPr>
            </w:pPr>
            <w:r>
              <w:rPr>
                <w:rFonts w:ascii="Times New Roman" w:cs="Times New Roman" w:eastAsia="Times New Roman" w:hAnsi="Times New Roman"/>
                <w:sz w:val="14"/>
                <w:szCs w:val="14"/>
                <w:color w:val="005A64"/>
              </w:rPr>
              <w:t>(3.83)</w:t>
            </w:r>
          </w:p>
        </w:tc>
        <w:tc>
          <w:tcPr>
            <w:tcW w:w="0" w:type="dxa"/>
            <w:vAlign w:val="bottom"/>
          </w:tcPr>
          <w:p>
            <w:pPr>
              <w:spacing w:after="0"/>
              <w:rPr>
                <w:sz w:val="1"/>
                <w:szCs w:val="1"/>
                <w:color w:val="auto"/>
              </w:rPr>
            </w:pPr>
          </w:p>
        </w:tc>
      </w:tr>
      <w:tr>
        <w:trPr>
          <w:trHeight w:val="50"/>
        </w:trPr>
        <w:tc>
          <w:tcPr>
            <w:tcW w:w="51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180" w:type="dxa"/>
            <w:vAlign w:val="bottom"/>
            <w:tcBorders>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Borders>
              <w:bottom w:val="single" w:sz="8" w:color="BECD32"/>
            </w:tcBorders>
          </w:tcPr>
          <w:p>
            <w:pPr>
              <w:spacing w:after="0"/>
              <w:rPr>
                <w:sz w:val="4"/>
                <w:szCs w:val="4"/>
                <w:color w:val="auto"/>
              </w:rPr>
            </w:pPr>
          </w:p>
        </w:tc>
        <w:tc>
          <w:tcPr>
            <w:tcW w:w="124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Important financial and operating terms and concepts are described in Item 5 of our Annual Report on Form 20-F as of and for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Comparison of the three and nine months ended September 30, 2025 and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38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853.3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1,113.9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(260.6)</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 from out-licensing</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005A6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n.m.</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52.6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130.9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(78.3)</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(60)</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1,518.9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1,244.8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274.1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w:t>
            </w: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28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392"/>
        </w:trPr>
        <w:tc>
          <w:tcPr>
            <w:tcW w:w="528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100" w:type="dxa"/>
            <w:vAlign w:val="bottom"/>
            <w:tcBorders>
              <w:bottom w:val="single" w:sz="8" w:color="BECD32"/>
            </w:tcBorders>
          </w:tcPr>
          <w:p>
            <w:pPr>
              <w:spacing w:after="0"/>
              <w:rPr>
                <w:sz w:val="24"/>
                <w:szCs w:val="24"/>
                <w:color w:val="auto"/>
              </w:rPr>
            </w:pPr>
          </w:p>
        </w:tc>
        <w:tc>
          <w:tcPr>
            <w:tcW w:w="2160" w:type="dxa"/>
            <w:vAlign w:val="bottom"/>
            <w:tcBorders>
              <w:bottom w:val="single" w:sz="8" w:color="BECD32"/>
            </w:tcBorders>
            <w:gridSpan w:val="4"/>
          </w:tcPr>
          <w:p>
            <w:pPr>
              <w:spacing w:after="0"/>
              <w:rPr>
                <w:sz w:val="24"/>
                <w:szCs w:val="24"/>
                <w:color w:val="auto"/>
              </w:rPr>
            </w:pPr>
          </w:p>
        </w:tc>
        <w:tc>
          <w:tcPr>
            <w:tcW w:w="60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72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199"/>
        </w:trPr>
        <w:tc>
          <w:tcPr>
            <w:tcW w:w="538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1,139.6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1,310.0</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(170.4)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 from out-licensing</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005A6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613.0</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n.m.</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209.9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251.1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w:t>
            </w:r>
          </w:p>
        </w:tc>
        <w:tc>
          <w:tcPr>
            <w:tcW w:w="0" w:type="dxa"/>
            <w:vAlign w:val="bottom"/>
          </w:tcPr>
          <w:p>
            <w:pPr>
              <w:spacing w:after="0"/>
              <w:rPr>
                <w:sz w:val="1"/>
                <w:szCs w:val="1"/>
                <w:color w:val="auto"/>
              </w:rPr>
            </w:pPr>
          </w:p>
        </w:tc>
      </w:tr>
      <w:tr>
        <w:trPr>
          <w:trHeight w:val="51"/>
        </w:trPr>
        <w:tc>
          <w:tcPr>
            <w:tcW w:w="528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1,962.5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1,561.1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401.4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26</w:t>
            </w:r>
          </w:p>
        </w:tc>
        <w:tc>
          <w:tcPr>
            <w:tcW w:w="0" w:type="dxa"/>
            <w:vAlign w:val="bottom"/>
          </w:tcPr>
          <w:p>
            <w:pPr>
              <w:spacing w:after="0"/>
              <w:rPr>
                <w:sz w:val="1"/>
                <w:szCs w:val="1"/>
                <w:color w:val="auto"/>
              </w:rPr>
            </w:pPr>
          </w:p>
        </w:tc>
      </w:tr>
      <w:tr>
        <w:trPr>
          <w:trHeight w:val="51"/>
        </w:trPr>
        <w:tc>
          <w:tcPr>
            <w:tcW w:w="52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28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67" w:right="359" w:bottom="603" w:gutter="0" w:footer="0" w:header="0"/>
        </w:sect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50</w:t>
      </w:r>
    </w:p>
    <w:p>
      <w:pPr>
        <w:sectPr>
          <w:pgSz w:w="11900" w:h="16838" w:orient="portrait"/>
          <w:cols w:equalWidth="0" w:num="1">
            <w:col w:w="11220"/>
          </w:cols>
          <w:pgMar w:left="320" w:top="167" w:right="359" w:bottom="603" w:gutter="0" w:footer="0" w:header="0"/>
          <w:type w:val="continuous"/>
        </w:sectPr>
      </w:pPr>
    </w:p>
    <w:bookmarkStart w:id="58" w:name="page59"/>
    <w:bookmarkEnd w:id="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COVID-19 Vaccine Revenues</w:t>
      </w:r>
    </w:p>
    <w:p>
      <w:pPr>
        <w:spacing w:after="0" w:line="148"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Our COVID-19 vaccine revenues decreased by €260.6 million, or 23%, from €1,113.9 million during the three months ended September 30, 2024, to €853.3 million during the three months ended September 30, 2025 and decreased by €170.4 million, or 13%, from €1,310.0 million during the nine months ended September 30, 2024, to €1,139.6 million during the nine months ended September 30, 2025. While our year-to-date revenues were similar to those of the comparative prior year period, our revenues for the three months ended September 30, 2025 were lower compared to the comparative prior year period, largely driven by a lower volume of doses sold. Our COVID-19 vaccine revenues are subject to seasonal effects in the fall and winter of the northern hemisphere.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Revenues from Out-Licensing</w:t>
      </w:r>
    </w:p>
    <w:p>
      <w:pPr>
        <w:spacing w:after="0" w:line="148"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Our revenues from out-licensing increased by €613.0 million from nil during the three months ended September 30, 2024 to €613.0 million during the three months ended September 30, 2025, and increased by €613.0 million from nil during the nine months ended September 30, 2024 to €613.0 million during the nine months ended September 30, 2025. On June 2, 2025, we and Bristol-Myers Squibb Company, or BMS, announced a global strategic partnership to co-develop and co-commercialize our next-generation bispecific antibody candidate, pumitamig (BNT327/BMS986545), broadly for multiple solid tumor types. Under the terms of the agreement, we granted BMS a worldwide, co-exclusive license to use the licensed intellectual property, or IP,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200" w:lineRule="exact"/>
        <w:rPr>
          <w:sz w:val="20"/>
          <w:szCs w:val="20"/>
          <w:color w:val="auto"/>
        </w:rPr>
      </w:pPr>
    </w:p>
    <w:p>
      <w:pPr>
        <w:spacing w:after="0" w:line="30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On August 15, 2025, we and BMS entered into an amended and restated agreement that replaced the original agreement. The new agreement governs the collaboration, including in particular the performance-related rights and obligations, without affecting the financial terms agreed in the original agreement. The license granted in respect of our IP was determined to be a separate unit of account from the other promised good and services, which we refer to as development activities, and accounted for under IFRS 15 as the granting of a license to our IP is an output of our ordinary activities. Based on the terms of the contract, we have identified material rights relating to options to cancel the contract. In allocating revenue to the material rights throughout the development period, management determined an expected consideration of $3.5 billion, consisting of the upfront payment and the anniversary payments. The expected consideration is attributed to each option to cancel the contract using the practical alternative under IFRS 15.B43. Each material right is recognized as revenue at the point in time BMS makes use of its option or when such right expires. The upfront payment was recorded as contract liability (€1,313.6 million, converted as of the contract date of the initial agreement, June 2, 2025). We determined that the criteria in IFRS 15.9 were subsequently met with the conclusion of the amended and restated agreement as of August 15, 2025. During the three months ended September 30, 2025, revenue in the amount of €613.0 million was recognized on a cumulative catch-up basis as of June 2, 2025, the date the initial agreement was effective, and €700.6 million have been deferred and will be recognized upon BMS makes use of its option or when such right expires. All milestone payments are considered to be constrained, as the achievement of the milestone events depends on the success of the underlying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51</w:t>
            </w:r>
          </w:p>
        </w:tc>
      </w:tr>
    </w:tbl>
    <w:p>
      <w:pPr>
        <w:sectPr>
          <w:pgSz w:w="11900" w:h="16838" w:orient="portrait"/>
          <w:cols w:equalWidth="0" w:num="1">
            <w:col w:w="11240"/>
          </w:cols>
          <w:pgMar w:left="320" w:top="167" w:right="339" w:bottom="1440" w:gutter="0" w:footer="0" w:header="0"/>
        </w:sectPr>
      </w:pPr>
    </w:p>
    <w:bookmarkStart w:id="59" w:name="page60"/>
    <w:bookmarkEnd w:id="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which is outside our control. Sales-based milestone payments will be recognized when the underlying sale transactions have occurred.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Other Revenues</w:t>
      </w:r>
    </w:p>
    <w:p>
      <w:pPr>
        <w:spacing w:after="0" w:line="14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remaining other revenues were mainly derived from a pandemic preparedness contract with the German government, during the three and nine months ended September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same period in 2024, was primarily driven by lower expenses arising from inventory write-downs to net realizable value, the year-to-date increase is mainly attributable to multiple positive extraordinary effects, for example 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 €103.3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5"/>
          </w:tcPr>
          <w:p>
            <w:pPr>
              <w:jc w:val="center"/>
              <w:ind w:left="48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gridSpan w:val="5"/>
          </w:tcPr>
          <w:p>
            <w:pPr>
              <w:jc w:val="center"/>
              <w:ind w:left="528"/>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80" w:type="dxa"/>
            <w:vAlign w:val="bottom"/>
            <w:tcBorders>
              <w:bottom w:val="single" w:sz="8" w:color="BECD32"/>
            </w:tcBorders>
          </w:tcPr>
          <w:p>
            <w:pPr>
              <w:spacing w:after="0"/>
              <w:rPr>
                <w:sz w:val="13"/>
                <w:szCs w:val="13"/>
                <w:color w:val="auto"/>
              </w:rPr>
            </w:pPr>
          </w:p>
        </w:tc>
        <w:tc>
          <w:tcPr>
            <w:tcW w:w="1260" w:type="dxa"/>
            <w:vAlign w:val="bottom"/>
            <w:tcBorders>
              <w:bottom w:val="single" w:sz="8" w:color="BECD32"/>
            </w:tcBorders>
            <w:gridSpan w:val="2"/>
          </w:tcPr>
          <w:p>
            <w:pPr>
              <w:spacing w:after="0"/>
              <w:rPr>
                <w:sz w:val="13"/>
                <w:szCs w:val="13"/>
                <w:color w:val="auto"/>
              </w:rPr>
            </w:pPr>
          </w:p>
        </w:tc>
        <w:tc>
          <w:tcPr>
            <w:tcW w:w="2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20" w:type="dxa"/>
            <w:vAlign w:val="bottom"/>
            <w:gridSpan w:val="3"/>
            <w:vMerge w:val="continue"/>
          </w:tcPr>
          <w:p>
            <w:pPr>
              <w:spacing w:after="0"/>
              <w:rPr>
                <w:sz w:val="17"/>
                <w:szCs w:val="17"/>
                <w:color w:val="auto"/>
              </w:rPr>
            </w:pPr>
          </w:p>
        </w:tc>
        <w:tc>
          <w:tcPr>
            <w:tcW w:w="1340" w:type="dxa"/>
            <w:vAlign w:val="bottom"/>
            <w:tcBorders>
              <w:left w:val="single" w:sz="8" w:color="BECD32"/>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left w:val="single" w:sz="8" w:color="BECD32"/>
            </w:tcBorders>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5A64"/>
              </w:rPr>
              <w:t>Non-COVID-19 vaccine</w:t>
            </w:r>
          </w:p>
        </w:tc>
        <w:tc>
          <w:tcPr>
            <w:tcW w:w="1340" w:type="dxa"/>
            <w:vAlign w:val="bottom"/>
            <w:tcBorders>
              <w:left w:val="single" w:sz="8" w:color="BECD32"/>
            </w:tcBorders>
            <w:gridSpan w:val="3"/>
          </w:tcPr>
          <w:p>
            <w:pPr>
              <w:jc w:val="right"/>
              <w:spacing w:after="0"/>
              <w:rPr>
                <w:sz w:val="20"/>
                <w:szCs w:val="20"/>
                <w:color w:val="auto"/>
              </w:rPr>
            </w:pPr>
            <w:r>
              <w:rPr>
                <w:rFonts w:ascii="Times New Roman" w:cs="Times New Roman" w:eastAsia="Times New Roman" w:hAnsi="Times New Roman"/>
                <w:sz w:val="14"/>
                <w:szCs w:val="14"/>
                <w:color w:val="005A64"/>
              </w:rPr>
              <w:t>528.0</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437.8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90.2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left w:val="single" w:sz="8" w:color="BECD32"/>
            </w:tcBorders>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5A64"/>
              </w:rPr>
              <w:t>COVID-19 vaccine</w:t>
            </w:r>
          </w:p>
        </w:tc>
        <w:tc>
          <w:tcPr>
            <w:tcW w:w="1340" w:type="dxa"/>
            <w:vAlign w:val="bottom"/>
            <w:tcBorders>
              <w:left w:val="single" w:sz="8" w:color="BECD32"/>
            </w:tcBorders>
            <w:gridSpan w:val="3"/>
          </w:tcPr>
          <w:p>
            <w:pPr>
              <w:jc w:val="right"/>
              <w:spacing w:after="0"/>
              <w:rPr>
                <w:sz w:val="20"/>
                <w:szCs w:val="20"/>
                <w:color w:val="auto"/>
              </w:rPr>
            </w:pPr>
            <w:r>
              <w:rPr>
                <w:rFonts w:ascii="Times New Roman" w:cs="Times New Roman" w:eastAsia="Times New Roman" w:hAnsi="Times New Roman"/>
                <w:sz w:val="14"/>
                <w:szCs w:val="14"/>
                <w:color w:val="005A64"/>
              </w:rPr>
              <w:t>36.8</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112.5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(75.7)</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(67)</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left w:val="single" w:sz="8" w:color="BECD32"/>
            </w:tcBorders>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Borders>
              <w:bottom w:val="single" w:sz="8" w:color="7FACB1"/>
            </w:tcBorders>
          </w:tcPr>
          <w:p>
            <w:pPr>
              <w:spacing w:after="0"/>
              <w:rPr>
                <w:sz w:val="4"/>
                <w:szCs w:val="4"/>
                <w:color w:val="auto"/>
              </w:rPr>
            </w:pPr>
          </w:p>
        </w:tc>
        <w:tc>
          <w:tcPr>
            <w:tcW w:w="2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research and development expenses</w:t>
            </w:r>
          </w:p>
        </w:tc>
        <w:tc>
          <w:tcPr>
            <w:tcW w:w="1340" w:type="dxa"/>
            <w:vAlign w:val="bottom"/>
            <w:tcBorders>
              <w:left w:val="single" w:sz="8" w:color="BECD32"/>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005A64"/>
              </w:rPr>
              <w:t>564.8</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550.3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14.5</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w:t>
            </w: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left w:val="single" w:sz="8" w:color="BECD32"/>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5280" w:type="dxa"/>
            <w:vAlign w:val="bottom"/>
            <w:tcBorders>
              <w:bottom w:val="single" w:sz="8" w:color="BECD32"/>
            </w:tcBorders>
          </w:tcPr>
          <w:p>
            <w:pPr>
              <w:spacing w:after="0"/>
              <w:rPr>
                <w:sz w:val="24"/>
                <w:szCs w:val="24"/>
                <w:color w:val="auto"/>
              </w:rPr>
            </w:pPr>
          </w:p>
        </w:tc>
        <w:tc>
          <w:tcPr>
            <w:tcW w:w="20" w:type="dxa"/>
            <w:vAlign w:val="bottom"/>
            <w:tcBorders>
              <w:bottom w:val="single" w:sz="8" w:color="BECD32"/>
            </w:tcBorders>
          </w:tcPr>
          <w:p>
            <w:pPr>
              <w:spacing w:after="0"/>
              <w:rPr>
                <w:sz w:val="24"/>
                <w:szCs w:val="24"/>
                <w:color w:val="auto"/>
              </w:rPr>
            </w:pPr>
          </w:p>
        </w:tc>
        <w:tc>
          <w:tcPr>
            <w:tcW w:w="120" w:type="dxa"/>
            <w:vAlign w:val="bottom"/>
            <w:tcBorders>
              <w:bottom w:val="single" w:sz="8" w:color="BECD32"/>
            </w:tcBorders>
          </w:tcPr>
          <w:p>
            <w:pPr>
              <w:spacing w:after="0"/>
              <w:rPr>
                <w:sz w:val="24"/>
                <w:szCs w:val="24"/>
                <w:color w:val="auto"/>
              </w:rPr>
            </w:pPr>
          </w:p>
        </w:tc>
        <w:tc>
          <w:tcPr>
            <w:tcW w:w="80" w:type="dxa"/>
            <w:vAlign w:val="bottom"/>
            <w:tcBorders>
              <w:bottom w:val="single" w:sz="8" w:color="BECD32"/>
            </w:tcBorders>
          </w:tcPr>
          <w:p>
            <w:pPr>
              <w:spacing w:after="0"/>
              <w:rPr>
                <w:sz w:val="24"/>
                <w:szCs w:val="24"/>
                <w:color w:val="auto"/>
              </w:rPr>
            </w:pPr>
          </w:p>
        </w:tc>
        <w:tc>
          <w:tcPr>
            <w:tcW w:w="20" w:type="dxa"/>
            <w:vAlign w:val="bottom"/>
            <w:tcBorders>
              <w:bottom w:val="single" w:sz="8" w:color="BECD32"/>
            </w:tcBorders>
          </w:tcPr>
          <w:p>
            <w:pPr>
              <w:spacing w:after="0"/>
              <w:rPr>
                <w:sz w:val="24"/>
                <w:szCs w:val="24"/>
                <w:color w:val="auto"/>
              </w:rPr>
            </w:pPr>
          </w:p>
        </w:tc>
        <w:tc>
          <w:tcPr>
            <w:tcW w:w="2120" w:type="dxa"/>
            <w:vAlign w:val="bottom"/>
            <w:tcBorders>
              <w:bottom w:val="single" w:sz="8" w:color="BECD32"/>
            </w:tcBorders>
            <w:gridSpan w:val="5"/>
          </w:tcPr>
          <w:p>
            <w:pPr>
              <w:spacing w:after="0"/>
              <w:rPr>
                <w:sz w:val="24"/>
                <w:szCs w:val="24"/>
                <w:color w:val="auto"/>
              </w:rPr>
            </w:pPr>
          </w:p>
        </w:tc>
        <w:tc>
          <w:tcPr>
            <w:tcW w:w="60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1260" w:type="dxa"/>
            <w:vAlign w:val="bottom"/>
            <w:tcBorders>
              <w:bottom w:val="single" w:sz="8" w:color="BECD32"/>
            </w:tcBorders>
          </w:tcPr>
          <w:p>
            <w:pPr>
              <w:spacing w:after="0"/>
              <w:rPr>
                <w:sz w:val="24"/>
                <w:szCs w:val="24"/>
                <w:color w:val="auto"/>
              </w:rPr>
            </w:pPr>
          </w:p>
        </w:tc>
        <w:tc>
          <w:tcPr>
            <w:tcW w:w="220" w:type="dxa"/>
            <w:vAlign w:val="bottom"/>
            <w:tcBorders>
              <w:bottom w:val="single" w:sz="8" w:color="BECD32"/>
            </w:tcBorders>
          </w:tcPr>
          <w:p>
            <w:pPr>
              <w:spacing w:after="0"/>
              <w:rPr>
                <w:sz w:val="24"/>
                <w:szCs w:val="24"/>
                <w:color w:val="auto"/>
              </w:rPr>
            </w:pPr>
          </w:p>
        </w:tc>
        <w:tc>
          <w:tcPr>
            <w:tcW w:w="560" w:type="dxa"/>
            <w:vAlign w:val="bottom"/>
            <w:tcBorders>
              <w:bottom w:val="single" w:sz="8" w:color="BECD32"/>
            </w:tcBorders>
          </w:tcPr>
          <w:p>
            <w:pPr>
              <w:spacing w:after="0"/>
              <w:rPr>
                <w:sz w:val="24"/>
                <w:szCs w:val="24"/>
                <w:color w:val="auto"/>
              </w:rPr>
            </w:pPr>
          </w:p>
        </w:tc>
        <w:tc>
          <w:tcPr>
            <w:tcW w:w="720" w:type="dxa"/>
            <w:vAlign w:val="bottom"/>
            <w:tcBorders>
              <w:bottom w:val="single" w:sz="8" w:color="BECD32"/>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jc w:val="center"/>
              <w:ind w:left="468"/>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gridSpan w:val="5"/>
          </w:tcPr>
          <w:p>
            <w:pPr>
              <w:jc w:val="center"/>
              <w:ind w:left="508"/>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20" w:type="dxa"/>
            <w:vAlign w:val="bottom"/>
            <w:gridSpan w:val="3"/>
          </w:tcPr>
          <w:p>
            <w:pPr>
              <w:spacing w:after="0"/>
              <w:rPr>
                <w:sz w:val="13"/>
                <w:szCs w:val="13"/>
                <w:color w:val="auto"/>
              </w:rPr>
            </w:pPr>
          </w:p>
        </w:tc>
        <w:tc>
          <w:tcPr>
            <w:tcW w:w="13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BECD32"/>
            </w:tcBorders>
            <w:gridSpan w:val="3"/>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40" w:type="dxa"/>
            <w:vAlign w:val="bottom"/>
            <w:tcBorders>
              <w:top w:val="single" w:sz="8" w:color="BECD32"/>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20" w:type="dxa"/>
            <w:vAlign w:val="bottom"/>
            <w:tcBorders>
              <w:top w:val="single" w:sz="8" w:color="BECD32"/>
            </w:tcBorders>
          </w:tcPr>
          <w:p>
            <w:pPr>
              <w:spacing w:after="0"/>
              <w:rPr>
                <w:sz w:val="17"/>
                <w:szCs w:val="17"/>
                <w:color w:val="auto"/>
              </w:rPr>
            </w:pPr>
          </w:p>
        </w:tc>
        <w:tc>
          <w:tcPr>
            <w:tcW w:w="120" w:type="dxa"/>
            <w:vAlign w:val="bottom"/>
            <w:tcBorders>
              <w:top w:val="single" w:sz="8" w:color="BECD32"/>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7"/>
                <w:szCs w:val="17"/>
                <w:color w:val="auto"/>
              </w:rPr>
            </w:pPr>
          </w:p>
        </w:tc>
        <w:tc>
          <w:tcPr>
            <w:tcW w:w="20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gridSpan w:val="2"/>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005A64"/>
            </w:tcBorders>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BECD32"/>
            </w:tcBorders>
            <w:gridSpan w:val="3"/>
          </w:tcPr>
          <w:p>
            <w:pPr>
              <w:ind w:left="20"/>
              <w:spacing w:after="0"/>
              <w:rPr>
                <w:sz w:val="20"/>
                <w:szCs w:val="20"/>
                <w:color w:val="auto"/>
              </w:rPr>
            </w:pPr>
            <w:r>
              <w:rPr>
                <w:rFonts w:ascii="Times New Roman" w:cs="Times New Roman" w:eastAsia="Times New Roman" w:hAnsi="Times New Roman"/>
                <w:sz w:val="14"/>
                <w:szCs w:val="14"/>
                <w:color w:val="005A64"/>
              </w:rPr>
              <w:t>Non-COVID-19 vaccine</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5A64"/>
              </w:rPr>
              <w:t>1,512.5</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1,414.3</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98.2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gridSpan w:val="2"/>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BECD32"/>
            </w:tcBorders>
            <w:gridSpan w:val="3"/>
          </w:tcPr>
          <w:p>
            <w:pPr>
              <w:ind w:left="20"/>
              <w:spacing w:after="0"/>
              <w:rPr>
                <w:sz w:val="20"/>
                <w:szCs w:val="20"/>
                <w:color w:val="auto"/>
              </w:rPr>
            </w:pPr>
            <w:r>
              <w:rPr>
                <w:rFonts w:ascii="Times New Roman" w:cs="Times New Roman" w:eastAsia="Times New Roman" w:hAnsi="Times New Roman"/>
                <w:sz w:val="14"/>
                <w:szCs w:val="14"/>
                <w:color w:val="005A64"/>
              </w:rPr>
              <w:t>COVID-19 vaccine</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5A64"/>
              </w:rPr>
              <w:t>87.0</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228.1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(141.1)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(62)</w:t>
            </w:r>
          </w:p>
        </w:tc>
        <w:tc>
          <w:tcPr>
            <w:tcW w:w="0" w:type="dxa"/>
            <w:vAlign w:val="bottom"/>
          </w:tcPr>
          <w:p>
            <w:pPr>
              <w:spacing w:after="0"/>
              <w:rPr>
                <w:sz w:val="1"/>
                <w:szCs w:val="1"/>
                <w:color w:val="auto"/>
              </w:rPr>
            </w:pPr>
          </w:p>
        </w:tc>
      </w:tr>
      <w:tr>
        <w:trPr>
          <w:trHeight w:val="50"/>
        </w:trPr>
        <w:tc>
          <w:tcPr>
            <w:tcW w:w="528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gridSpan w:val="2"/>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7FACB1"/>
            </w:tcBorders>
            <w:gridSpan w:val="2"/>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20" w:type="dxa"/>
            <w:vAlign w:val="bottom"/>
            <w:tcBorders>
              <w:right w:val="single" w:sz="8" w:color="BECD32"/>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research and development expenses</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005A64"/>
              </w:rPr>
              <w:t>1,599.5</w:t>
            </w:r>
          </w:p>
        </w:tc>
        <w:tc>
          <w:tcPr>
            <w:tcW w:w="20" w:type="dxa"/>
            <w:vAlign w:val="bottom"/>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1,642.4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(42.9)</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w:t>
            </w:r>
          </w:p>
        </w:tc>
        <w:tc>
          <w:tcPr>
            <w:tcW w:w="0" w:type="dxa"/>
            <w:vAlign w:val="bottom"/>
          </w:tcPr>
          <w:p>
            <w:pPr>
              <w:spacing w:after="0"/>
              <w:rPr>
                <w:sz w:val="1"/>
                <w:szCs w:val="1"/>
                <w:color w:val="auto"/>
              </w:rPr>
            </w:pPr>
          </w:p>
        </w:tc>
      </w:tr>
      <w:tr>
        <w:trPr>
          <w:trHeight w:val="50"/>
        </w:trPr>
        <w:tc>
          <w:tcPr>
            <w:tcW w:w="528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4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immuno-oncology, or IO, and antibody-drug conjugate, or ADC, programs, partly offset by cost savings resulting from active portfolio management. In addition, research and development expenses for the three months ended September 30, 2025 were impacted by a one-time impairment of BNT323/DB-1303 (see Note 7 to</w:t>
      </w:r>
    </w:p>
    <w:p>
      <w:pPr>
        <w:sectPr>
          <w:pgSz w:w="11900" w:h="16838" w:orient="portrait"/>
          <w:cols w:equalWidth="0" w:num="1">
            <w:col w:w="11240"/>
          </w:cols>
          <w:pgMar w:left="320" w:top="167" w:right="339" w:bottom="1440" w:gutter="0" w:footer="0" w:header="0"/>
        </w:sectPr>
      </w:pPr>
    </w:p>
    <w:p>
      <w:pPr>
        <w:spacing w:after="0" w:line="321"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52</w:t>
      </w:r>
    </w:p>
    <w:p>
      <w:pPr>
        <w:sectPr>
          <w:pgSz w:w="11900" w:h="16838" w:orient="portrait"/>
          <w:cols w:equalWidth="0" w:num="1">
            <w:col w:w="11240"/>
          </w:cols>
          <w:pgMar w:left="320" w:top="167" w:right="339" w:bottom="1440" w:gutter="0" w:footer="0" w:header="0"/>
          <w:type w:val="continuous"/>
        </w:sectPr>
      </w:pPr>
    </w:p>
    <w:bookmarkStart w:id="60" w:name="page61"/>
    <w:bookmarkEnd w:id="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unaudited interim condensed consolidated financial statements included elsewhere in this Quarterly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prior-year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Operating Result</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 €113.2 million, or 18%, from a negative operating result of €616.9 million during the nine months ended September 30, 2024 to a negative operating result of €730.1 million during the nine months ended September 30, 2025. The decrease was mainly related to expenses incurred in connection with the settlement of contractual disputes to resolve a patent litigation with CureVac N.V. and GSK plc as announced on August 8, 2025. Under the terms of the settlement agreements, we incurred other operating 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current period.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Finance Result</w:t>
      </w:r>
    </w:p>
    <w:p>
      <w:pPr>
        <w:spacing w:after="0" w:line="16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Our finance result during the three and nine months ended September 30, 2025 and 2024 was mainly derived from returns, such as interests, resulting from our financial investments as well as fair value adjustments of our money market funds. It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Income Taxes</w:t>
      </w:r>
    </w:p>
    <w:p>
      <w:pPr>
        <w:spacing w:after="0" w:line="16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income taxes increased by €92.8 million from €39.4 million of realized tax income during the three months ended September 30, 2024 to €53.4 million of accrued tax expenses during the three months ended September 30, 2025, and decreased by €61.8 million from €54.1 million of realized tax income during the nine months ended September 30, 2024 to €7.7 million of accrued tax expenses during the nine months ended September 30, 2025. The effective income tax rate for the nine months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53</w:t>
            </w:r>
          </w:p>
        </w:tc>
      </w:tr>
    </w:tbl>
    <w:p>
      <w:pPr>
        <w:sectPr>
          <w:pgSz w:w="11900" w:h="16838" w:orient="portrait"/>
          <w:cols w:equalWidth="0" w:num="1">
            <w:col w:w="11240"/>
          </w:cols>
          <w:pgMar w:left="320" w:top="167" w:right="339" w:bottom="1440" w:gutter="0" w:footer="0" w:header="0"/>
        </w:sectPr>
      </w:pPr>
    </w:p>
    <w:bookmarkStart w:id="61" w:name="page62"/>
    <w:bookmarkEnd w:id="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ended September 30, 2025 was approximately (0.9)% and approximately 5.5% for the nine months ended September 30,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Related Party Transactions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party transactions that occurred during the three and nine months ended September 30, 2025 and 2024, are explained in Note 12 to the unaudited interim condensed consolidated financial statements included elsewhere in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Critical Accounting Policies and Use of Estimates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for the three and nine months ended September 30, 2025, have been prepared in accordance with IAS 34 Interim Financial Reporting.</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Legal Proceedings</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23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For a description of the risks relating to these and other legal proceedings we face and may in the future face and our assessments thereof, see “Risk Factors” in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7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the amount of which is not specified in their filings. We filed</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54</w:t>
            </w:r>
          </w:p>
        </w:tc>
      </w:tr>
    </w:tbl>
    <w:p>
      <w:pPr>
        <w:sectPr>
          <w:pgSz w:w="11900" w:h="16838" w:orient="portrait"/>
          <w:cols w:equalWidth="0" w:num="1">
            <w:col w:w="11240"/>
          </w:cols>
          <w:pgMar w:left="320" w:top="167" w:right="339" w:bottom="1440" w:gutter="0" w:footer="0" w:header="0"/>
        </w:sectPr>
      </w:pPr>
    </w:p>
    <w:bookmarkStart w:id="62" w:name="page63"/>
    <w:bookmarkEnd w:id="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On August 29, 2025, Alnylam, we and the Pfizer parties entered into a settlement agreement and covenant not to sue (the “Alnylam Settlement Agreement”). Pursuant to the Alnylam Settlement Agreement, Alnylam agreed not to appeal the final judgment and we and Pfizer parties agreed not to seek attorneys’ fees or costs. The parties further agreed to certain mutual releases and covenants not to sue. The case has now concluded.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55</w:t>
            </w:r>
          </w:p>
        </w:tc>
      </w:tr>
    </w:tbl>
    <w:p>
      <w:pPr>
        <w:sectPr>
          <w:pgSz w:w="11900" w:h="16838" w:orient="portrait"/>
          <w:cols w:equalWidth="0" w:num="1">
            <w:col w:w="11240"/>
          </w:cols>
          <w:pgMar w:left="320" w:top="167" w:right="339" w:bottom="1440" w:gutter="0" w:footer="0" w:header="0"/>
        </w:sectPr>
      </w:pPr>
    </w:p>
    <w:bookmarkStart w:id="63" w:name="page64"/>
    <w:bookmarkEnd w:id="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has appealed this written decision and the appeal is pending. An oral hearing with respect to infringement of EP’668 is currently scheduled for November 6, 2025, but the parties have submitted a request to the Dusseldorf Regional Court to postpone the hearing to mid-January 2026. On July 3, 2025, GlaxoSmithKline Biologicals SA filed a request seeking to intervene in the EP’668 infringement proceedings, and its request to intervene will be heard at this same hearing.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December 8, 2025. On July 24, 2024, the EPO Opposition Division issued a preliminary opinion noting that it believes EP’755 is likely invalid, and held a three-day oral hearing beginning on May 13, 2025. At the conclusion of the hearing, the EPO Opposition Division upheld EP’755 in amended form. The written decision by the Opposition Division to uphold EP’755 in amended form was issued on August 6, 2025, and we have appealed the Opposition Division’s written decision and the appeal is pending. A hearing on infringement with respect to EP’755 is currently scheduled for November 6, 2025, but the parties have submitted a request to the Dusseldorf Regional Court to postpone this hearing to mid-January 2026. On July 3, 2025, GlaxoSmithKline Biologicals SA filed a request to intervene in the EP’755 infringement proceedings, and its request to intervene will be heard at this same hearing.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56</w:t>
            </w:r>
          </w:p>
        </w:tc>
      </w:tr>
    </w:tbl>
    <w:p>
      <w:pPr>
        <w:sectPr>
          <w:pgSz w:w="11900" w:h="16838" w:orient="portrait"/>
          <w:cols w:equalWidth="0" w:num="1">
            <w:col w:w="11240"/>
          </w:cols>
          <w:pgMar w:left="320" w:top="167" w:right="339" w:bottom="1440" w:gutter="0" w:footer="0" w:header="0"/>
        </w:sectPr>
      </w:pPr>
    </w:p>
    <w:bookmarkStart w:id="64" w:name="page65"/>
    <w:bookmarkEnd w:id="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December 8, 2025.</w:t>
      </w:r>
    </w:p>
    <w:p>
      <w:pPr>
        <w:spacing w:after="0" w:line="21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In July 2022, we and Pfizer filed a complaint for a declaratory judgment in the U.S. District Court for the District of Massachusetts, seeking a judgment of non-infringement by Comirnaty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rescheduled it to begin on September 8, 2025. On July 7, 2025, GlaxoSmithKline Biologicals SA filed a motion to intervene in the litigation. On August 7, 2025, we, Pfizer and CureVac entered into a settlement agreement which, among other things, resolved the pending patent litigation among the parties in the United States, and set a framework for resolving patent litigation and allegations of patent infringement among the parties outside the United States (subject to the closing of BioNTech’s acquisition of CureVac) (see Note 4.2 to the unaudited interim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57</w:t>
            </w:r>
          </w:p>
        </w:tc>
      </w:tr>
    </w:tbl>
    <w:p>
      <w:pPr>
        <w:sectPr>
          <w:pgSz w:w="11900" w:h="16838" w:orient="portrait"/>
          <w:cols w:equalWidth="0" w:num="1">
            <w:col w:w="11240"/>
          </w:cols>
          <w:pgMar w:left="320" w:top="167" w:right="339" w:bottom="1440" w:gutter="0" w:footer="0" w:header="0"/>
        </w:sectPr>
      </w:pPr>
    </w:p>
    <w:bookmarkStart w:id="65" w:name="page66"/>
    <w:bookmarkEnd w:id="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4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and the appeal is currently pending, with an oral hearing scheduled for January 27, 2026. On September 17, 2025, the EPO Boards of Appeal issued a preliminary opinion noting that it believes EP’565 is likely invalid.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58</w:t>
            </w:r>
          </w:p>
        </w:tc>
      </w:tr>
    </w:tbl>
    <w:p>
      <w:pPr>
        <w:sectPr>
          <w:pgSz w:w="11900" w:h="16838" w:orient="portrait"/>
          <w:cols w:equalWidth="0" w:num="1">
            <w:col w:w="11240"/>
          </w:cols>
          <w:pgMar w:left="320" w:top="167" w:right="339" w:bottom="1440" w:gutter="0" w:footer="0" w:header="0"/>
        </w:sectPr>
      </w:pPr>
    </w:p>
    <w:bookmarkStart w:id="66" w:name="page67"/>
    <w:bookmarkEnd w:id="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13" w:lineRule="exact"/>
        <w:rPr>
          <w:sz w:val="20"/>
          <w:szCs w:val="20"/>
          <w:color w:val="auto"/>
        </w:rPr>
      </w:pPr>
    </w:p>
    <w:p>
      <w:pPr>
        <w:jc w:val="both"/>
        <w:ind w:right="480"/>
        <w:spacing w:after="0" w:line="328" w:lineRule="auto"/>
        <w:rPr>
          <w:sz w:val="20"/>
          <w:szCs w:val="20"/>
          <w:color w:val="auto"/>
        </w:rPr>
      </w:pPr>
      <w:r>
        <w:rPr>
          <w:rFonts w:ascii="Times New Roman" w:cs="Times New Roman" w:eastAsia="Times New Roman" w:hAnsi="Times New Roman"/>
          <w:sz w:val="18"/>
          <w:szCs w:val="18"/>
          <w:color w:val="080509"/>
        </w:rPr>
        <w:t>The UK Court of Appeal held an oral hearing on the appeal of EP’949 on July 10-11, 2025. On August 1, 2025, the UK Court of Appeal issued a judgment agreeing with the UK High Court that EP ‘949 is valid, and dismissing our appeal. We have applied for permission to appeal this decision to the UK Supreme Court.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on or around December 9, 2025. The EP’565 case has been stayed pending the outcome of Moderna’s appeal of the Opposition Division’s revocation of EP’565.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59</w:t>
            </w:r>
          </w:p>
        </w:tc>
      </w:tr>
    </w:tbl>
    <w:p>
      <w:pPr>
        <w:sectPr>
          <w:pgSz w:w="11900" w:h="16838" w:orient="portrait"/>
          <w:cols w:equalWidth="0" w:num="1">
            <w:col w:w="11240"/>
          </w:cols>
          <w:pgMar w:left="320" w:top="167" w:right="339" w:bottom="1440" w:gutter="0" w:footer="0" w:header="0"/>
        </w:sectPr>
      </w:pPr>
    </w:p>
    <w:bookmarkStart w:id="67" w:name="page68"/>
    <w:bookmarkEnd w:id="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final determination of the EPO opposition proceedings for EP’949 and EP’565 (in each case including any appeals).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60</w:t>
            </w:r>
          </w:p>
        </w:tc>
      </w:tr>
    </w:tbl>
    <w:p>
      <w:pPr>
        <w:sectPr>
          <w:pgSz w:w="11900" w:h="16838" w:orient="portrait"/>
          <w:cols w:equalWidth="0" w:num="1">
            <w:col w:w="11240"/>
          </w:cols>
          <w:pgMar w:left="320" w:top="167" w:right="339" w:bottom="1440" w:gutter="0" w:footer="0" w:header="0"/>
        </w:sectPr>
      </w:pPr>
    </w:p>
    <w:bookmarkStart w:id="68" w:name="page69"/>
    <w:bookmarkEnd w:id="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Unified Patent Court</w:t>
      </w:r>
    </w:p>
    <w:p>
      <w:pPr>
        <w:spacing w:after="0" w:line="16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July 2025, GlaxoSmithKline Biologicals SA filed two lawsuits against BioNTech SE, BioNTech Europe GmbH, BioNTech Manufacturing GmbH, and BioNTech Manufacturing Marburg GmbH, as well as 26 Pfizer entities, in the Unified Patent Court (Hague Division). In the first lawsuit, GlaxoSmithKline Biologicals SA alleges Comirnaty’s infringement of European Patent No. 2,590,626, and in the second lawsuit, GlaxoSmithKline Biologicals SA alleges Comirnaty’s infringement of European Patent Nos. 4,066,856 and 4,226,941. This proceeding is currently pending.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September 2025, BioNTech and Pfizer filed a revocation action against GlaxoSmithKline Biologics SA in the Business and Property Courts of England and Wales, in the U.K. High Court, requesting revocation of European Patent Nos. 2,590,626, 4,066,856, and 4,226,941. On October 7, 2025, GlaxoSmithKline Biologics SA filed a defense and counterclaim for infringement against BioNTech SE and BioNTech Manufacturing GmbH, alleging Comirnaty’s infringement of European Patent Nos. 2,590,626, 4,066,856, and 4,226,941. This proceeding is currently pending.</w:t>
      </w:r>
    </w:p>
    <w:p>
      <w:pPr>
        <w:spacing w:after="0" w:line="200" w:lineRule="exact"/>
        <w:rPr>
          <w:sz w:val="20"/>
          <w:szCs w:val="20"/>
          <w:color w:val="auto"/>
        </w:rPr>
      </w:pPr>
    </w:p>
    <w:p>
      <w:pPr>
        <w:spacing w:after="0" w:line="29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Company believes it has strong defenses against the allegations claimed relative to each of the patents and intends to vigorously defend itself in the lawsuit mentioned above. However, the Company’s analysis of GSK’s claims is ongoing and complex, and the Company believes the outcome of the suit remains substantially uncertain. In light of the foregoing, as well as discussions with the Company’s outside counsel, the Company believes the probability of a loss, if any, being sustained by the Company and the estimate of the amount of any possible loss to the Company remains difficult to ascertain. As a result, the Company has determined that this matter is most appropriately accounted for as a contingency and that no accrual is warranted at this time.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36"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An oral hearing wherein the UPC will hear the parties’ arguments regarding infringement and invalidity has been scheduled for May 2026. This proceeding is currently pending.</w:t>
      </w:r>
    </w:p>
    <w:p>
      <w:pPr>
        <w:spacing w:after="0" w:line="22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61</w:t>
            </w:r>
          </w:p>
        </w:tc>
      </w:tr>
    </w:tbl>
    <w:p>
      <w:pPr>
        <w:sectPr>
          <w:pgSz w:w="11900" w:h="16838" w:orient="portrait"/>
          <w:cols w:equalWidth="0" w:num="1">
            <w:col w:w="11240"/>
          </w:cols>
          <w:pgMar w:left="320" w:top="167" w:right="339" w:bottom="1440" w:gutter="0" w:footer="0" w:header="0"/>
        </w:sectPr>
      </w:pPr>
    </w:p>
    <w:bookmarkStart w:id="69" w:name="page70"/>
    <w:bookmarkEnd w:id="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 (the “District Court”). We applied for a motion to dismiss the class action complaint on November 18, 2024. On September 30, 2025, the District Court dismissed the operative complaint in its entirety. Plaintiffs did not file a notice of appeal to the U.S. Court of Appeals for the Second Circuit by the October 30, 2025 deadline to do so. Nor, as of the date of this disclosure, have Plaintiffs moved the District Court for leave to amend their pleading. 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In our opinion, these matters constitute contingent liabilities. However, it is currently impractical for us to estimate with sufficient reliability the respective contingent liabilities.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7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are committed to translating science into survival for patients by advancing BioNTech’s strategy and executing it to become a global immunotherapy powerhouse with multiple approved products and revenue streams. As part of this continued approach, we have built a unique pipeline by targeting technologies and candidates with disruptive potential. In oncology, we focus on therapeutic approaches with pan-tumor potential, including our personalized mRNA cancer immunotherapies and our bispecific antibody candidate BNT327. We plan to significantly invest in their broad clinical evaluation across multiple cancer indications with significant (unmet) medical needs, as well as their commercialization in key markets. We aim to further enhance the therapeutic profile of our investigational therapies through the evaluation of novel combinations, including our differentiated portfolio of ADCs and targeted therapy candidates. As we continue to invest in executing our vision, we actively manage our portfolio and are committed to cost-effective value generation.</w:t>
      </w:r>
    </w:p>
    <w:p>
      <w:pPr>
        <w:spacing w:after="0" w:line="24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of September 30, 2025, we had cash and cash equivalents of €10,092.9 million, current security investments of €4,275.6 million and non-current security investments of €2,336.4 million, accumulating to €16,704.9 million in cash, cash equivalents and security investments.</w:t>
      </w:r>
    </w:p>
    <w:p>
      <w:pPr>
        <w:spacing w:after="0" w:line="21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62</w:t>
            </w:r>
          </w:p>
        </w:tc>
      </w:tr>
    </w:tbl>
    <w:p>
      <w:pPr>
        <w:sectPr>
          <w:pgSz w:w="11900" w:h="16838" w:orient="portrait"/>
          <w:cols w:equalWidth="0" w:num="1">
            <w:col w:w="11240"/>
          </w:cols>
          <w:pgMar w:left="320" w:top="167" w:right="339" w:bottom="1440" w:gutter="0" w:footer="0" w:header="0"/>
        </w:sectPr>
      </w:pPr>
    </w:p>
    <w:bookmarkStart w:id="70" w:name="page71"/>
    <w:bookmarkEnd w:id="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Cash Flow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3604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3604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3604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87" w:lineRule="exact"/>
        <w:rPr>
          <w:sz w:val="20"/>
          <w:szCs w:val="20"/>
          <w:color w:val="auto"/>
        </w:rPr>
      </w:pPr>
    </w:p>
    <w:p>
      <w:pPr>
        <w:ind w:left="20"/>
        <w:spacing w:after="0" w:line="345" w:lineRule="auto"/>
        <w:rPr>
          <w:sz w:val="20"/>
          <w:szCs w:val="20"/>
          <w:color w:val="auto"/>
        </w:rPr>
      </w:pPr>
      <w:r>
        <w:rPr>
          <w:rFonts w:ascii="Times New Roman" w:cs="Times New Roman" w:eastAsia="Times New Roman" w:hAnsi="Times New Roman"/>
          <w:sz w:val="14"/>
          <w:szCs w:val="14"/>
          <w:b w:val="1"/>
          <w:bCs w:val="1"/>
          <w:color w:val="005A64"/>
        </w:rPr>
        <w:t>Total cash inflow /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3604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14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005A64"/>
              </w:rPr>
              <w:t>Nine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14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005A64"/>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120" w:type="dxa"/>
            <w:vAlign w:val="bottom"/>
          </w:tcPr>
          <w:p>
            <w:pPr>
              <w:spacing w:after="0"/>
              <w:rPr>
                <w:sz w:val="13"/>
                <w:szCs w:val="13"/>
                <w:color w:val="auto"/>
              </w:rPr>
            </w:pPr>
          </w:p>
        </w:tc>
        <w:tc>
          <w:tcPr>
            <w:tcW w:w="136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1380" w:type="dxa"/>
            <w:vAlign w:val="bottom"/>
            <w:tcBorders>
              <w:left w:val="single" w:sz="8" w:color="BECD32"/>
            </w:tcBorders>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360" w:type="dxa"/>
            <w:vAlign w:val="bottom"/>
            <w:gridSpan w:val="2"/>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BECD32"/>
            </w:tcBorders>
          </w:tcPr>
          <w:p>
            <w:pPr>
              <w:spacing w:after="0"/>
              <w:rPr>
                <w:sz w:val="19"/>
                <w:szCs w:val="19"/>
                <w:color w:val="auto"/>
              </w:rPr>
            </w:pPr>
          </w:p>
        </w:tc>
        <w:tc>
          <w:tcPr>
            <w:tcW w:w="126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005A64"/>
              <w:bottom w:val="single" w:sz="8" w:color="7FACB1"/>
            </w:tcBorders>
          </w:tcPr>
          <w:p>
            <w:pPr>
              <w:spacing w:after="0"/>
              <w:rPr>
                <w:sz w:val="19"/>
                <w:szCs w:val="19"/>
                <w:color w:val="auto"/>
              </w:rPr>
            </w:pPr>
          </w:p>
        </w:tc>
        <w:tc>
          <w:tcPr>
            <w:tcW w:w="60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005A64"/>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005A64"/>
              <w:bottom w:val="single" w:sz="8" w:color="7FACB1"/>
            </w:tcBorders>
          </w:tcPr>
          <w:p>
            <w:pPr>
              <w:spacing w:after="0"/>
              <w:rPr>
                <w:sz w:val="19"/>
                <w:szCs w:val="19"/>
                <w:color w:val="auto"/>
              </w:rPr>
            </w:pPr>
          </w:p>
        </w:tc>
        <w:tc>
          <w:tcPr>
            <w:tcW w:w="680" w:type="dxa"/>
            <w:vAlign w:val="bottom"/>
            <w:tcBorders>
              <w:top w:val="single" w:sz="8" w:color="005A64"/>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780.7</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(638.9)</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146.5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671.0</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(925.3)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(142.1)</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257.1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(2,687.9)</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(11.5)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w:t>
            </w:r>
          </w:p>
        </w:tc>
        <w:tc>
          <w:tcPr>
            <w:tcW w:w="120" w:type="dxa"/>
            <w:vAlign w:val="bottom"/>
            <w:tcBorders>
              <w:right w:val="single" w:sz="8" w:color="BECD32"/>
            </w:tcBorders>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(38.6)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(38.6)</w:t>
            </w:r>
          </w:p>
        </w:tc>
        <w:tc>
          <w:tcPr>
            <w:tcW w:w="0" w:type="dxa"/>
            <w:vAlign w:val="bottom"/>
          </w:tcPr>
          <w:p>
            <w:pPr>
              <w:spacing w:after="0"/>
              <w:rPr>
                <w:sz w:val="1"/>
                <w:szCs w:val="1"/>
                <w:color w:val="auto"/>
              </w:rPr>
            </w:pPr>
          </w:p>
        </w:tc>
      </w:tr>
      <w:tr>
        <w:trPr>
          <w:trHeight w:val="50"/>
        </w:trPr>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(156.1)</w:t>
            </w:r>
          </w:p>
        </w:tc>
        <w:tc>
          <w:tcPr>
            <w:tcW w:w="12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(788.9)</w:t>
            </w:r>
          </w:p>
        </w:tc>
        <w:tc>
          <w:tcPr>
            <w:tcW w:w="120" w:type="dxa"/>
            <w:vAlign w:val="bottom"/>
            <w:tcBorders>
              <w:right w:val="single" w:sz="8" w:color="BECD32"/>
            </w:tcBorders>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365.0</w:t>
            </w:r>
          </w:p>
        </w:tc>
        <w:tc>
          <w:tcPr>
            <w:tcW w:w="120" w:type="dxa"/>
            <w:vAlign w:val="bottom"/>
            <w:tcBorders>
              <w:right w:val="single" w:sz="8" w:color="BECD32"/>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(2,055.5)</w:t>
            </w:r>
          </w:p>
        </w:tc>
        <w:tc>
          <w:tcPr>
            <w:tcW w:w="0" w:type="dxa"/>
            <w:vAlign w:val="bottom"/>
          </w:tcPr>
          <w:p>
            <w:pPr>
              <w:spacing w:after="0"/>
              <w:rPr>
                <w:sz w:val="1"/>
                <w:szCs w:val="1"/>
                <w:color w:val="auto"/>
              </w:rPr>
            </w:pPr>
          </w:p>
        </w:tc>
      </w:tr>
      <w:tr>
        <w:trPr>
          <w:trHeight w:val="158"/>
        </w:trPr>
        <w:tc>
          <w:tcPr>
            <w:tcW w:w="120" w:type="dxa"/>
            <w:vAlign w:val="bottom"/>
            <w:tcBorders>
              <w:left w:val="single" w:sz="8" w:color="BECD32"/>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005A64"/>
            </w:tcBorders>
          </w:tcPr>
          <w:p>
            <w:pPr>
              <w:spacing w:after="0"/>
              <w:rPr>
                <w:sz w:val="13"/>
                <w:szCs w:val="13"/>
                <w:color w:val="auto"/>
              </w:rPr>
            </w:pPr>
          </w:p>
        </w:tc>
        <w:tc>
          <w:tcPr>
            <w:tcW w:w="600" w:type="dxa"/>
            <w:vAlign w:val="bottom"/>
            <w:tcBorders>
              <w:bottom w:val="single" w:sz="8" w:color="005A64"/>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100" w:type="dxa"/>
            <w:vAlign w:val="bottom"/>
            <w:tcBorders>
              <w:bottom w:val="single" w:sz="8" w:color="BECD32"/>
            </w:tcBorders>
          </w:tcPr>
          <w:p>
            <w:pPr>
              <w:spacing w:after="0"/>
              <w:rPr>
                <w:sz w:val="13"/>
                <w:szCs w:val="13"/>
                <w:color w:val="auto"/>
              </w:rPr>
            </w:pPr>
          </w:p>
        </w:tc>
        <w:tc>
          <w:tcPr>
            <w:tcW w:w="1260" w:type="dxa"/>
            <w:vAlign w:val="bottom"/>
            <w:tcBorders>
              <w:bottom w:val="single" w:sz="8" w:color="BECD32"/>
            </w:tcBorders>
          </w:tcPr>
          <w:p>
            <w:pPr>
              <w:spacing w:after="0"/>
              <w:rPr>
                <w:sz w:val="13"/>
                <w:szCs w:val="13"/>
                <w:color w:val="auto"/>
              </w:rPr>
            </w:pPr>
          </w:p>
        </w:tc>
        <w:tc>
          <w:tcPr>
            <w:tcW w:w="120" w:type="dxa"/>
            <w:vAlign w:val="bottom"/>
            <w:tcBorders>
              <w:bottom w:val="single" w:sz="8" w:color="BECD32"/>
              <w:right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005A64"/>
            </w:tcBorders>
          </w:tcPr>
          <w:p>
            <w:pPr>
              <w:spacing w:after="0"/>
              <w:rPr>
                <w:sz w:val="13"/>
                <w:szCs w:val="13"/>
                <w:color w:val="auto"/>
              </w:rPr>
            </w:pPr>
          </w:p>
        </w:tc>
        <w:tc>
          <w:tcPr>
            <w:tcW w:w="680" w:type="dxa"/>
            <w:vAlign w:val="bottom"/>
            <w:tcBorders>
              <w:bottom w:val="single" w:sz="8" w:color="005A64"/>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ectPr>
          <w:pgSz w:w="11900" w:h="16838" w:orient="portrait"/>
          <w:cols w:equalWidth="0" w:num="2">
            <w:col w:w="4700" w:space="700"/>
            <w:col w:w="5840"/>
          </w:cols>
          <w:pgMar w:left="320" w:top="167"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Operating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net cash flows from operating activities during the three months ended September 30, 2025 were €780.7 million. Cash received from our revenue streams and the BMS upfront payment exceeded the cash payments for our operating business, resulting in a cash inflow of €706.4 million for three months ended September 30, 2025. We generated positive cash contributions from interest and other payments related to the security investments of €83.5 million and grants of €7.0 million, which were partly offset by tax payments of €9.6 million and by share based payment programs of €4.2 million.</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net cash flows used in operating activities during the three months ended September 30, 2024, were €638.9 million. Cash payments for our operating business exceeded our cash received from our revenue streams, resulting in a cash outflow of €638.3 million. Additionally, we received positive cash contributions from grants of €60.7 million and from returns such as interests or sales resulting from our financial investments of €73.1 million which were offset by €134.4 million for exercised share based payment programs, especially the programs in which the Management Board members participate.</w:t>
      </w:r>
    </w:p>
    <w:p>
      <w:pPr>
        <w:spacing w:after="0" w:line="200" w:lineRule="exact"/>
        <w:rPr>
          <w:sz w:val="20"/>
          <w:szCs w:val="20"/>
          <w:color w:val="auto"/>
        </w:rPr>
      </w:pPr>
    </w:p>
    <w:p>
      <w:pPr>
        <w:spacing w:after="0" w:line="29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net cash flows from operating activities during the nine months ended September 30, 2025, were €146.5 million. Cash payments for our operating business exceeded our cash received from our revenue streams and the BMS upfront payment during the nine months ended September 30, 2025, resulting in a cash outflow of €102.5 million. We generated positive cash contributions from interest and other payments related to the security investments of €275.2 million and grants of €38.0 million, which were partly offset by tax payments of €36.7 million and by share based payment programs of €19.3 million.</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net cash flows from operating activities during the nine months ended September 30, 2024, were €671.0 million. Cash received from our revenue streams exceeded the cash payments for our operating business, resulting in a cash inflow of €556.3 million. Additionally, we received positive cash contribution from grants of €102.7 million and from returns such as interests or sales resulting from</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63</w:t>
            </w:r>
          </w:p>
        </w:tc>
      </w:tr>
    </w:tbl>
    <w:p>
      <w:pPr>
        <w:sectPr>
          <w:pgSz w:w="11900" w:h="16838" w:orient="portrait"/>
          <w:cols w:equalWidth="0" w:num="1">
            <w:col w:w="11240"/>
          </w:cols>
          <w:pgMar w:left="320" w:top="167" w:right="339" w:bottom="1440" w:gutter="0" w:footer="0" w:header="0"/>
          <w:type w:val="continuous"/>
        </w:sectPr>
      </w:pPr>
    </w:p>
    <w:bookmarkStart w:id="71" w:name="page72"/>
    <w:bookmarkEnd w:id="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our financial investments of €353.3 million. On the other hand, we paid income taxes of €190.8 million and the operating cash flow was impacted by cash payments of €143.6 million for exercised share based payment programs, especially the programs in which the Management Board members participate.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Investing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net cash flows used in investing activities during the three months ended September 30, 2025 were €925.3 million. This amount includes €889.6 million mainly representing net payments in security investments. The net payments in property, plant and equipment and intangible assets of €35.7 million are related to investments in building our laboratory and office facilities in Mainz, Germany and elsewhere.</w:t>
      </w: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net cash flows used in investing activities during the three months ended September 30, 2024 were €142.1 million. This amount includes €59.4 million mainly spent on security investments. The net payments in property, plant and equipment and intangible assets of €82.7 million are related to investments in building our laboratory and office facilities in Germany as well as our facilities in Singapore.</w:t>
      </w:r>
    </w:p>
    <w:p>
      <w:pPr>
        <w:spacing w:after="0" w:line="23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net cash flows from investing activities during the nine months ended September 30, 2025 were €257.1 million. This amount includes €1,018.6 million representing mainly repayments from matured security investments offset by a payment of €565.1 million for the settlement of our pre-existing relationship in connection with the License and Collaboration Agreement with Biotheus entered into in November 2023, which is separate from the remaining purchase price to be transferred for the acquired business of Biotheus (see Note 5 to the unaudited interim condensed consolidated financial statements included in this Quarterly Report). Other offsetting effects are the remaining net cash outflow for the Biotheus business combination of €78.5 million and net payments in property, plant and equipment a of €108.0 million related to investments in building our laboratory and office facilities in Mainz, Germany and elsewhere.</w:t>
      </w:r>
    </w:p>
    <w:p>
      <w:pPr>
        <w:spacing w:after="0" w:line="24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Our net cash flows used in investing activities during the nine months ended September 30, 2024 were €2,687.9 million. The amount includes €2,327.2 million mainly spent on security investments. The net payments in property, plant and equipment and intangible assets of €360.7 million are related to investments in building our laboratory and office facilities in Germany, Singapore and Rwanda and milestone payments for in-licensing.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Financing Activities</w:t>
      </w:r>
    </w:p>
    <w:p>
      <w:pPr>
        <w:spacing w:after="0" w:line="16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three months ended September 30, 2025 were €11.5 million and mainly related to our lease payments of €10.3 million.</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three months ended September 30, 2024 were €7.9 million and mainly related to our lease payments.</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nine months ended September 30, 2025 were €38.6 million and mainly related to our lease payments of €29.2 million.</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net cash flows used in financing activities during the nine months ended September 30, 2024 were €38.6 million and mainly related to our lease payments.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64</w:t>
            </w:r>
          </w:p>
        </w:tc>
      </w:tr>
    </w:tbl>
    <w:p>
      <w:pPr>
        <w:sectPr>
          <w:pgSz w:w="11900" w:h="16838" w:orient="portrait"/>
          <w:cols w:equalWidth="0" w:num="1">
            <w:col w:w="11240"/>
          </w:cols>
          <w:pgMar w:left="320" w:top="167" w:right="339" w:bottom="1440" w:gutter="0" w:footer="0" w:header="0"/>
        </w:sectPr>
      </w:pPr>
    </w:p>
    <w:bookmarkStart w:id="72" w:name="page73"/>
    <w:bookmarkEnd w:id="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Operation and Funding Requirements</w:t>
      </w:r>
    </w:p>
    <w:p>
      <w:pPr>
        <w:spacing w:after="0" w:line="179"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increase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 additional infrastructure to our quality control, quality assurance, legal, compliance and other groups to support our operations as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 company and our product development and commercialization efforts, including new and expanded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enhance our commercial infrastructure for other product candidates for which we are seeking to obtain marketing approval;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33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2"/>
          <w:szCs w:val="22"/>
          <w:b w:val="1"/>
          <w:bCs w:val="1"/>
          <w:color w:val="C3C3C3"/>
        </w:rPr>
        <w:t>65</w:t>
      </w:r>
    </w:p>
    <w:p>
      <w:pPr>
        <w:sectPr>
          <w:pgSz w:w="11900" w:h="16838" w:orient="portrait"/>
          <w:cols w:equalWidth="0" w:num="1">
            <w:col w:w="11240"/>
          </w:cols>
          <w:pgMar w:left="320" w:top="167" w:right="339" w:bottom="1440" w:gutter="0" w:footer="0" w:header="0"/>
          <w:type w:val="continuous"/>
        </w:sectPr>
      </w:pPr>
    </w:p>
    <w:bookmarkStart w:id="73" w:name="page74"/>
    <w:bookmarkEnd w:id="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is related to lease payments amounting to €47.5 million and commitments under purchase agreements and contractual obligations amounting to €217.5 million. Further, we have lease payment obligations with an amount of €183.5 million and commitments under purchase agreements and contractual obligations of €762.4 million for the years 2026 and beyond. Our capital expenditures supporting our operating activities during the three and nine months ended September 30, 2025 amounted to €41.9 million and €133.1 million, respectively. In comparison, our capital expenditures supporting our operating activities during the three and nine months ended September 30, 2024 amounted to €79.1 million and €236.3 million, respectively. During both years, these expenditures were mainly driven by investments in building our laboratory and office facilities in Germany and rest of world.</w:t>
      </w:r>
    </w:p>
    <w:p>
      <w:pPr>
        <w:spacing w:after="0" w:line="200" w:lineRule="exact"/>
        <w:rPr>
          <w:sz w:val="20"/>
          <w:szCs w:val="20"/>
          <w:color w:val="auto"/>
        </w:rPr>
      </w:pPr>
    </w:p>
    <w:p>
      <w:pPr>
        <w:spacing w:after="0" w:line="30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66</w:t>
            </w:r>
          </w:p>
        </w:tc>
      </w:tr>
    </w:tbl>
    <w:p>
      <w:pPr>
        <w:sectPr>
          <w:pgSz w:w="11900" w:h="16838" w:orient="portrait"/>
          <w:cols w:equalWidth="0" w:num="1">
            <w:col w:w="11240"/>
          </w:cols>
          <w:pgMar w:left="320" w:top="167" w:right="339" w:bottom="1440" w:gutter="0" w:footer="0" w:header="0"/>
        </w:sectPr>
      </w:pPr>
    </w:p>
    <w:bookmarkStart w:id="74" w:name="page75"/>
    <w:bookmarkEnd w:id="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our current and future programs;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ADS repurchases we make.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Risk Factors</w:t>
      </w:r>
    </w:p>
    <w:p>
      <w:pPr>
        <w:spacing w:after="0" w:line="20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Factor Summary</w:t>
      </w:r>
    </w:p>
    <w:p>
      <w:pPr>
        <w:spacing w:after="0" w:line="165"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Demand for our COVID-19 vaccine, though difficult to predict, is expected to continue to decrease in the near future. Changing market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dynamics, including as a result of government policy and public sentiment, will impact our revenue, which currently depends heavily on sales of our COVID-19 vaccine, and result in challenges relating to production of our COVID-19 vaccine.</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reported commercial revenue is partially based on preliminary estimates of COVID-19 vaccine sales and costs from Pfizer Inc.,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Pfizer, that are likely to change in future periods, which may impact our reported financial results.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unsuccessful in adapting our COVID-19 vaccine or developing future versions of our COVID-19 vaccine to protect against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variants of the SARS-CoV-2 virus and, even if we are successful, a market for vaccines against these variants may not develop.</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adverse events may occur during our clinical trials or even after receiving regulatory approval, which could delay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are unable to continue to increase our marketing and sales capabilities on our own or through third parties, we may not be able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 and sell our product candidates effectively in the United States and other jurisdictions, if approved, or generate product sales revenue.</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companies or organizations may challenge our intellectual property rights or may assert intellectual property rights that prevent us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developing and commercializing our COVID-19</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67</w:t>
            </w:r>
          </w:p>
        </w:tc>
      </w:tr>
    </w:tbl>
    <w:p>
      <w:pPr>
        <w:sectPr>
          <w:pgSz w:w="11900" w:h="16838" w:orient="portrait"/>
          <w:cols w:equalWidth="0" w:num="1">
            <w:col w:w="11240"/>
          </w:cols>
          <w:pgMar w:left="320" w:top="167" w:right="339" w:bottom="1440" w:gutter="0" w:footer="0" w:header="0"/>
        </w:sectPr>
      </w:pPr>
    </w:p>
    <w:bookmarkStart w:id="75" w:name="page76"/>
    <w:bookmarkEnd w:id="75"/>
    <w:p>
      <w:pPr>
        <w:ind w:left="1000"/>
        <w:spacing w:after="0"/>
        <w:tabs>
          <w:tab w:leader="none" w:pos="736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80509"/>
        </w:rPr>
        <w:t>vaccine or our product candidates and other technologies, or that negatively affect our results of operations.</w:t>
      </w:r>
    </w:p>
    <w:p>
      <w:pPr>
        <w:spacing w:after="0" w:line="333"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if we obtain regulatory approval for our product candidates, the products may not gain the market acceptance among physicians,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hospitals, treatment centers and others in the medical community necessary for commercial success.</w:t>
      </w:r>
    </w:p>
    <w:p>
      <w:pPr>
        <w:spacing w:after="0" w:line="216"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operating results may fluctuate significantly, which makes our future operating results difficult to predict. If our operating results fall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below expectations, the price of the ADSs representing our shares could decline.</w:t>
      </w:r>
    </w:p>
    <w:p>
      <w:pPr>
        <w:spacing w:after="0" w:line="216"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identify material weaknesses in our internal control over financial reporting and fail to remediate such material weaknesses,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not be able to report our financial results accurately or to prevent fraud.</w:t>
      </w:r>
    </w:p>
    <w:p>
      <w:pPr>
        <w:spacing w:after="0" w:line="216" w:lineRule="exact"/>
        <w:rPr>
          <w:sz w:val="20"/>
          <w:szCs w:val="20"/>
          <w:color w:val="auto"/>
        </w:rPr>
      </w:pPr>
    </w:p>
    <w:p>
      <w:pPr>
        <w:ind w:left="18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 “foreign private issuer,” we are exempt from a number of rules under U.S. securities laws, as well as Nasdaq rules, and we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permitted to file less information with the Securities and Exchange Commission, or the SEC, than U.S. companies. This may limit the information available to holders of the ADSs and may make our ordinary shares and the ADSs less attractive to investors.</w:t>
      </w:r>
    </w:p>
    <w:p>
      <w:pPr>
        <w:spacing w:after="0" w:line="231" w:lineRule="exact"/>
        <w:rPr>
          <w:sz w:val="20"/>
          <w:szCs w:val="20"/>
          <w:color w:val="auto"/>
        </w:rPr>
      </w:pPr>
    </w:p>
    <w:p>
      <w:pPr>
        <w:ind w:left="18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development involves a lengthy and expensive process with an uncertain outcome, and delays can occur for a variety of reasons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00" w:lineRule="exact"/>
        <w:rPr>
          <w:sz w:val="20"/>
          <w:szCs w:val="20"/>
          <w:color w:val="auto"/>
        </w:rPr>
      </w:pPr>
    </w:p>
    <w:p>
      <w:pPr>
        <w:spacing w:after="0" w:line="285" w:lineRule="exact"/>
        <w:rPr>
          <w:sz w:val="20"/>
          <w:szCs w:val="20"/>
          <w:color w:val="auto"/>
        </w:rPr>
      </w:pPr>
    </w:p>
    <w:p>
      <w:pPr>
        <w:ind w:left="18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drug development has substantial clinical development and regulatory risks due to limited regulatory experience with mRNA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immunotherapies.</w:t>
      </w:r>
    </w:p>
    <w:p>
      <w:pPr>
        <w:spacing w:after="0" w:line="200" w:lineRule="exact"/>
        <w:rPr>
          <w:sz w:val="20"/>
          <w:szCs w:val="20"/>
          <w:color w:val="auto"/>
        </w:rPr>
      </w:pPr>
    </w:p>
    <w:p>
      <w:pPr>
        <w:spacing w:after="0" w:line="358" w:lineRule="exact"/>
        <w:rPr>
          <w:sz w:val="20"/>
          <w:szCs w:val="20"/>
          <w:color w:val="auto"/>
        </w:rPr>
      </w:pPr>
    </w:p>
    <w:p>
      <w:pPr>
        <w:ind w:left="18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approved product and product candidates are based on novel technologies and they may be complex and difficult to manufacture.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235"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our efforts to obtain, maintain, protect, defend and/or enforce the intellectual property related to our COVID-19 vaccine or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and technologies are not adequate, we may not be able to compete effectively in our market.</w:t>
      </w:r>
    </w:p>
    <w:p>
      <w:pPr>
        <w:spacing w:after="0" w:line="216" w:lineRule="exact"/>
        <w:rPr>
          <w:sz w:val="20"/>
          <w:szCs w:val="20"/>
          <w:color w:val="auto"/>
        </w:rPr>
      </w:pPr>
    </w:p>
    <w:p>
      <w:pPr>
        <w:ind w:left="18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experienced and may continue to experience significant volatility in the market price of the ADSs representing our ordinary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shares.</w:t>
      </w:r>
    </w:p>
    <w:p>
      <w:pPr>
        <w:spacing w:after="0" w:line="200" w:lineRule="exact"/>
        <w:rPr>
          <w:sz w:val="20"/>
          <w:szCs w:val="20"/>
          <w:color w:val="auto"/>
        </w:rPr>
      </w:pPr>
    </w:p>
    <w:p>
      <w:pPr>
        <w:spacing w:after="0" w:line="358"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principal shareholders and management own a significant percentage of our ordinary shares and will be able to exert significant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control over matters subject to shareholder approval.</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68</w:t>
            </w:r>
          </w:p>
        </w:tc>
      </w:tr>
    </w:tbl>
    <w:p>
      <w:pPr>
        <w:sectPr>
          <w:pgSz w:w="11900" w:h="16838" w:orient="portrait"/>
          <w:cols w:equalWidth="0" w:num="1">
            <w:col w:w="11200"/>
          </w:cols>
          <w:pgMar w:left="360" w:top="167" w:right="339" w:bottom="1440" w:gutter="0" w:footer="0" w:header="0"/>
        </w:sectPr>
      </w:pPr>
    </w:p>
    <w:bookmarkStart w:id="76" w:name="page77"/>
    <w:bookmarkEnd w:id="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COVID-19 Vaccine and the Commercialization of our Pipeline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Demand for our COVID-19 vaccine, though difficult to predict, is expected to continue to decrease in the near future. Changing market dynamics, including as a result of government policy and public sentiment, will impact our revenue, which currently depends heavily on sales of our COVID-19 vaccine, and result in challenges relating to production of our COVID-19 vaccine.</w:t>
      </w:r>
    </w:p>
    <w:p>
      <w:pPr>
        <w:spacing w:after="0" w:line="18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spacing w:after="0" w:line="240"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a COVID-19 vaccine, including any booster shot, continues to be necessary while COVID-19 remains an endemic</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virus;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competition from other COVID-19 vaccines, including those with different mechanisms of action and different manufacturing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distribution constraints, on the basis of, among other things, efficacy, cost, convenience of storage and distribution, breadth of approved use, side-effect profile and durability of immune response;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successfully and timely develop effective vaccines targeting new variants and mutations of COVID-19;</w:t>
      </w:r>
    </w:p>
    <w:p>
      <w:pPr>
        <w:spacing w:after="0" w:line="333"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including changes in vaccine recommendations,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receive full regulatory approvals where we currently have, or previously have had, emergency use authorizations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equivalents;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expand our geographic customer base;</w:t>
      </w:r>
    </w:p>
    <w:p>
      <w:pPr>
        <w:spacing w:after="0" w:line="333" w:lineRule="exact"/>
        <w:rPr>
          <w:sz w:val="20"/>
          <w:szCs w:val="20"/>
          <w:color w:val="auto"/>
        </w:rPr>
      </w:pPr>
    </w:p>
    <w:p>
      <w:pPr>
        <w:jc w:val="right"/>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pricing and reimbursement negotiations with governmental authorities, private health insurers and other third-party payors after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initial sales to national governments, including the transition towards ordinary-course insurance coverage in the public and private sectors;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countries and jurisdictions to store and distribute doses of our COVID-19 vaccine to end users at cold temperatures;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profile of our COVID-19 vaccine, including if previously unknown undesirable effects or increased incidence or severity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known undesirable effects are identified with our COVID-19 vaccine;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litigation involving our COVID-19 vaccine and COVID-19 vaccines in general;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69</w:t>
            </w:r>
          </w:p>
        </w:tc>
      </w:tr>
    </w:tbl>
    <w:p>
      <w:pPr>
        <w:sectPr>
          <w:pgSz w:w="11900" w:h="16838" w:orient="portrait"/>
          <w:cols w:equalWidth="0" w:num="1">
            <w:col w:w="11240"/>
          </w:cols>
          <w:pgMar w:left="320" w:top="166" w:right="339" w:bottom="1440" w:gutter="0" w:footer="0" w:header="0"/>
        </w:sectPr>
      </w:pPr>
    </w:p>
    <w:bookmarkStart w:id="77" w:name="page78"/>
    <w:bookmarkEnd w:id="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manufacturing and distribution capabilities for our COVID-19 vaccine.</w:t>
      </w:r>
    </w:p>
    <w:p>
      <w:pPr>
        <w:spacing w:after="0" w:line="33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reported commercial revenue is based in part on preliminary estimates of COVID-19 vaccine sales and costs from Pfizer that are likely to change in future periods, which may impact our reported financial results.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reported commercial revenue is based in part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200" w:lineRule="exact"/>
        <w:rPr>
          <w:sz w:val="20"/>
          <w:szCs w:val="20"/>
          <w:color w:val="auto"/>
        </w:rPr>
      </w:pP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239"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70</w:t>
            </w:r>
          </w:p>
        </w:tc>
      </w:tr>
    </w:tbl>
    <w:p>
      <w:pPr>
        <w:sectPr>
          <w:pgSz w:w="11900" w:h="16838" w:orient="portrait"/>
          <w:cols w:equalWidth="0" w:num="1">
            <w:col w:w="11240"/>
          </w:cols>
          <w:pgMar w:left="320" w:top="166" w:right="339" w:bottom="1440" w:gutter="0" w:footer="0" w:header="0"/>
        </w:sectPr>
      </w:pPr>
    </w:p>
    <w:bookmarkStart w:id="78" w:name="page79"/>
    <w:bookmarkEnd w:id="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be unsuccessful in adapting our COVID- 19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1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variant-adapted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200" w:lineRule="exact"/>
        <w:rPr>
          <w:sz w:val="20"/>
          <w:szCs w:val="20"/>
          <w:color w:val="auto"/>
        </w:rPr>
      </w:pPr>
    </w:p>
    <w:p>
      <w:pPr>
        <w:spacing w:after="0" w:line="2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71</w:t>
            </w:r>
          </w:p>
        </w:tc>
      </w:tr>
    </w:tbl>
    <w:p>
      <w:pPr>
        <w:sectPr>
          <w:pgSz w:w="11900" w:h="16838" w:orient="portrait"/>
          <w:cols w:equalWidth="0" w:num="1">
            <w:col w:w="11240"/>
          </w:cols>
          <w:pgMar w:left="320" w:top="166" w:right="339" w:bottom="1440" w:gutter="0" w:footer="0" w:header="0"/>
        </w:sectPr>
      </w:pPr>
    </w:p>
    <w:bookmarkStart w:id="79" w:name="page80"/>
    <w:bookmarkEnd w:id="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200" w:lineRule="exact"/>
        <w:rPr>
          <w:sz w:val="20"/>
          <w:szCs w:val="20"/>
          <w:color w:val="auto"/>
        </w:rPr>
      </w:pPr>
    </w:p>
    <w:p>
      <w:pPr>
        <w:spacing w:after="0" w:line="2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39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72</w:t>
            </w:r>
          </w:p>
        </w:tc>
      </w:tr>
    </w:tbl>
    <w:p>
      <w:pPr>
        <w:sectPr>
          <w:pgSz w:w="11900" w:h="16838" w:orient="portrait"/>
          <w:cols w:equalWidth="0" w:num="1">
            <w:col w:w="11240"/>
          </w:cols>
          <w:pgMar w:left="320" w:top="166" w:right="339" w:bottom="1440" w:gutter="0" w:footer="0" w:header="0"/>
        </w:sectPr>
      </w:pPr>
    </w:p>
    <w:bookmarkStart w:id="80" w:name="page81"/>
    <w:bookmarkEnd w:id="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200" w:lineRule="exact"/>
        <w:rPr>
          <w:sz w:val="20"/>
          <w:szCs w:val="20"/>
          <w:color w:val="auto"/>
        </w:rPr>
      </w:pPr>
    </w:p>
    <w:p>
      <w:pPr>
        <w:spacing w:after="0" w:line="31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73</w:t>
            </w:r>
          </w:p>
        </w:tc>
      </w:tr>
    </w:tbl>
    <w:p>
      <w:pPr>
        <w:sectPr>
          <w:pgSz w:w="11900" w:h="16838" w:orient="portrait"/>
          <w:cols w:equalWidth="0" w:num="1">
            <w:col w:w="11240"/>
          </w:cols>
          <w:pgMar w:left="320" w:top="166" w:right="339" w:bottom="1440" w:gutter="0" w:footer="0" w:header="0"/>
        </w:sectPr>
      </w:pPr>
    </w:p>
    <w:bookmarkStart w:id="81" w:name="page82"/>
    <w:bookmarkEnd w:id="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 Officials appointed by the current presidential administration to oversee the implementation of the IRA may take a different approach, and the administration and Congress could also pursue statutory changes to the program, either of which could negatively affect our revenues.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Government policies, including relating to manufacturing, export controls, or tariffs, and negative public perception regarding vaccines and mRNA-based therapeutics could severely and adversely impact the manufacturing and sales of our COVID-19 vaccine and other product candidates we may develop, if approved.</w:t>
      </w:r>
    </w:p>
    <w:p>
      <w:pPr>
        <w:spacing w:after="0" w:line="17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More recently, on April 2, 2025, the Trump administration imposed tariffs including a 10% baseline tariff on all countries, with that baseline supplemented in certain cases by additional tariffs that vary by nation, product or industry. Reciprocal tariffs on U.S. goods have been imposed by, among others, China, Canada, and the European Union. On July 28, 2025, the Trump administration announced a trade agreement with the European Union that included a 15% tariff on most imports from the European Union. Furthermore, on September 25, 2025, the Trump administration announced a 100% tariff on certain imported branded pharmaceuticals, subject to certain exceptions. While tariffs with certain countries have been temporarily reduced or paused, the imposition of new tariffs will likely be met with further reciprocal tariffs, thus increasing the possibility of a global trade war. If trade restrictions or tariffs reduce global economic activity, potential impacts could include declining sales; increased costs; volatility in foreign exchange rates; and a decline in the value of our financial assets. Issued or future executive orders or other new or changes in laws, regulations or policy regarding tariffs could have a material adverse effect on our business, earnings and financial guidance.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w:t>
      </w: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74</w:t>
            </w:r>
          </w:p>
        </w:tc>
      </w:tr>
    </w:tbl>
    <w:p>
      <w:pPr>
        <w:sectPr>
          <w:pgSz w:w="11900" w:h="16838" w:orient="portrait"/>
          <w:cols w:equalWidth="0" w:num="1">
            <w:col w:w="11240"/>
          </w:cols>
          <w:pgMar w:left="320" w:top="166" w:right="339" w:bottom="1440" w:gutter="0" w:footer="0" w:header="0"/>
        </w:sectPr>
      </w:pPr>
    </w:p>
    <w:bookmarkStart w:id="82" w:name="page83"/>
    <w:bookmarkEnd w:id="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and the extent to which tariffs are imposed on finished or unfinished pharmaceutical products. Vaccines are also at risk of being subject to adverse emergency actions taken by governmental entities in certain countries, including intellectual property expropriation, compulsory licenses, strict price controls or other actions, such as the requirement that specific quantities of vaccine doses be set aside for designated purposes or geographic areas. Additional changes in governmental policy preferences and regulatory decision-making may have an adverse effect on our ability to commercialize products or, if approved, product candidates. For example, the FDA’s approval of our LP.8.1-adapted monovalent COVID-19 vaccine is in a narrower population than our previous variant-adapted vaccines.</w:t>
      </w:r>
    </w:p>
    <w:p>
      <w:pPr>
        <w:spacing w:after="0" w:line="21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including due to changes in local, national and state government policies in the U.S. and other jurisdictions, and cause reputational damage.</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significant competition with other makers of COVID-19 vaccines and may be unable to maintain a competitive market share for our COVID-19 vaccine.</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Our COVID-19 vaccine is sensitive to temperature, shipping and storage conditions and could be subject to risk of loss or damage.</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75</w:t>
            </w:r>
          </w:p>
        </w:tc>
      </w:tr>
    </w:tbl>
    <w:p>
      <w:pPr>
        <w:sectPr>
          <w:pgSz w:w="11900" w:h="16838" w:orient="portrait"/>
          <w:cols w:equalWidth="0" w:num="1">
            <w:col w:w="11240"/>
          </w:cols>
          <w:pgMar w:left="320" w:top="166" w:right="339" w:bottom="1440" w:gutter="0" w:footer="0" w:header="0"/>
        </w:sectPr>
      </w:pPr>
    </w:p>
    <w:bookmarkStart w:id="83" w:name="page84"/>
    <w:bookmarkEnd w:id="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manage these issues, we may be exposed to product liability claims and the market opportunity for our COVID-19 vaccine may be reduced, each of which could adversely affect our business prospects and materially harm our financial condition.</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17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greater financial, technical and human resources than we have at every stage of the discovery, development, manufacture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products;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more extensive experience in preclinical testing, conducting clinical trials, obtaining regulatory approvals and manufacturing,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selling drug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that are based on previously tested or accepted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that have been approved or are in late stages of development;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collaborative arrangements in our target markets with leading companies and research institutions.</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2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If we successfully develop other product candidates, and obtain approval for them, we will face competition based on many different factors, including: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and effectiveness of our products relative to alternative therapies, if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76</w:t>
            </w:r>
          </w:p>
        </w:tc>
      </w:tr>
    </w:tbl>
    <w:p>
      <w:pPr>
        <w:sectPr>
          <w:pgSz w:w="11900" w:h="16838" w:orient="portrait"/>
          <w:cols w:equalWidth="0" w:num="1">
            <w:col w:w="11240"/>
          </w:cols>
          <w:pgMar w:left="320" w:top="166" w:right="339" w:bottom="1440" w:gutter="0" w:footer="0" w:header="0"/>
        </w:sectPr>
      </w:pPr>
    </w:p>
    <w:bookmarkStart w:id="84" w:name="page85"/>
    <w:bookmarkEnd w:id="8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ease with which our products can be administered and the extent to which patients accept relatively new routes of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timing and scope of regulatory approvals for these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availability and cost of manufacturing, marketing and sales capabilities;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price of any approved immunotherapy;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coverage;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position.</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Following our acquisition of InstaDeep Ltd., or InstaDeep, 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24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77</w:t>
            </w:r>
          </w:p>
        </w:tc>
      </w:tr>
    </w:tbl>
    <w:p>
      <w:pPr>
        <w:sectPr>
          <w:pgSz w:w="11900" w:h="16838" w:orient="portrait"/>
          <w:cols w:equalWidth="0" w:num="1">
            <w:col w:w="11240"/>
          </w:cols>
          <w:pgMar w:left="320" w:top="166" w:right="339" w:bottom="1440" w:gutter="0" w:footer="0" w:header="0"/>
        </w:sectPr>
      </w:pPr>
    </w:p>
    <w:bookmarkStart w:id="85" w:name="page86"/>
    <w:bookmarkEnd w:id="8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38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have only relatively recently developed our sales, distribution or marketing capabilities in Germany and Türkiye. With respect to our COVID-19 vaccine, we rely heavily on the sales, distribution, and 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18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on a country-by-country basis, the applicable marketing authorization from the competent regulatory authority;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burden of complying with complex and changing regulatory, tax, accounting, labor and other legal requirements in each jurisdiction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that we or our collaborators pursue;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reduced protection for intellectual property rights;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medical practices and customs affecting acceptance in the marketplace;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or export licensing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governmental controls, trade restrictions or changes in tariffs;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political instability;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78</w:t>
            </w:r>
          </w:p>
        </w:tc>
      </w:tr>
    </w:tbl>
    <w:p>
      <w:pPr>
        <w:sectPr>
          <w:pgSz w:w="11900" w:h="16838" w:orient="portrait"/>
          <w:cols w:equalWidth="0" w:num="1">
            <w:col w:w="11240"/>
          </w:cols>
          <w:pgMar w:left="320" w:top="166" w:right="339" w:bottom="1440" w:gutter="0" w:footer="0" w:header="0"/>
        </w:sectPr>
      </w:pPr>
    </w:p>
    <w:bookmarkStart w:id="86" w:name="page87"/>
    <w:bookmarkEnd w:id="8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accounts receivable collection times;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lead times for shipping;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language barriers;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foreign currency exchange rate fluctuations;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impact of epidemics, pandemics and other public health developments, such as COVID-19, on employees and the global economy;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pricing and insurance regimes;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interpretation of contractual provisions governed by local laws in the event of a contract dispute.</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200" w:lineRule="exact"/>
        <w:rPr>
          <w:sz w:val="20"/>
          <w:szCs w:val="20"/>
          <w:color w:val="auto"/>
        </w:rPr>
      </w:pPr>
    </w:p>
    <w:p>
      <w:pPr>
        <w:spacing w:after="0" w:line="26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potential efficacy and potential advantages over alternative treatments;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offer our products, if approved, at competitive prices;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including any limitations or warnings contained in a product’s approved labeling;</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resulting from checkpoint inhibitors or other drugs or therapies with which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are administered;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relative convenience and ease of transportation, storage and administration;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79</w:t>
            </w:r>
          </w:p>
        </w:tc>
      </w:tr>
    </w:tbl>
    <w:p>
      <w:pPr>
        <w:sectPr>
          <w:pgSz w:w="11900" w:h="16838" w:orient="portrait"/>
          <w:cols w:equalWidth="0" w:num="1">
            <w:col w:w="11240"/>
          </w:cols>
          <w:pgMar w:left="320" w:top="166" w:right="339" w:bottom="1440" w:gutter="0" w:footer="0" w:header="0"/>
        </w:sectPr>
      </w:pPr>
    </w:p>
    <w:bookmarkStart w:id="87" w:name="page88"/>
    <w:bookmarkEnd w:id="8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restrictions on the use of our products, if approved, together with other medications;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willingness of the target patient population to try new therapies, such as mRNA vaccines and therapies, and of physicians to prescribe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these therapies;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strength of marketing and distribution support and timing of market introduction of competitive products;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publicity concerning our products or competing products and treatments;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third-party insurance coverage or reimbursement, and patients’ willingness to pay out-of-pocket in the absence of third-party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coverage or adequate reimbursement.</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200" w:lineRule="exact"/>
        <w:rPr>
          <w:sz w:val="20"/>
          <w:szCs w:val="20"/>
          <w:color w:val="auto"/>
        </w:rPr>
      </w:pPr>
    </w:p>
    <w:p>
      <w:pPr>
        <w:spacing w:after="0" w:line="29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80</w:t>
            </w:r>
          </w:p>
        </w:tc>
      </w:tr>
    </w:tbl>
    <w:p>
      <w:pPr>
        <w:sectPr>
          <w:pgSz w:w="11900" w:h="16838" w:orient="portrait"/>
          <w:cols w:equalWidth="0" w:num="1">
            <w:col w:w="11240"/>
          </w:cols>
          <w:pgMar w:left="320" w:top="166" w:right="339" w:bottom="1440" w:gutter="0" w:footer="0" w:header="0"/>
        </w:sectPr>
      </w:pPr>
    </w:p>
    <w:bookmarkStart w:id="88" w:name="page89"/>
    <w:bookmarkEnd w:id="8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200" w:lineRule="exact"/>
        <w:rPr>
          <w:sz w:val="20"/>
          <w:szCs w:val="20"/>
          <w:color w:val="auto"/>
        </w:rPr>
      </w:pPr>
    </w:p>
    <w:p>
      <w:pPr>
        <w:spacing w:after="0" w:line="26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covered benefit under its health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 effective and medically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appropriate for the specific patient;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cost-effective;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neither experimental nor investigational.</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200" w:lineRule="exact"/>
        <w:rPr>
          <w:sz w:val="20"/>
          <w:szCs w:val="20"/>
          <w:color w:val="auto"/>
        </w:rPr>
      </w:pPr>
    </w:p>
    <w:p>
      <w:pPr>
        <w:spacing w:after="0" w:line="31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81</w:t>
            </w:r>
          </w:p>
        </w:tc>
      </w:tr>
    </w:tbl>
    <w:p>
      <w:pPr>
        <w:sectPr>
          <w:pgSz w:w="11900" w:h="16838" w:orient="portrait"/>
          <w:cols w:equalWidth="0" w:num="1">
            <w:col w:w="11240"/>
          </w:cols>
          <w:pgMar w:left="320" w:top="166" w:right="339" w:bottom="1440" w:gutter="0" w:footer="0" w:header="0"/>
        </w:sectPr>
      </w:pPr>
    </w:p>
    <w:bookmarkStart w:id="89" w:name="page90"/>
    <w:bookmarkEnd w:id="8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spacing w:after="0" w:line="17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current presidential administration to oversee the implementation of the IRA or other statutes may take a different approach, and the administration and Congress could also pursue statutory changes to this or other programs, either of which could negatively affect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82</w:t>
            </w:r>
          </w:p>
        </w:tc>
      </w:tr>
    </w:tbl>
    <w:p>
      <w:pPr>
        <w:sectPr>
          <w:pgSz w:w="11900" w:h="16838" w:orient="portrait"/>
          <w:cols w:equalWidth="0" w:num="1">
            <w:col w:w="11240"/>
          </w:cols>
          <w:pgMar w:left="320" w:top="166" w:right="339" w:bottom="1440" w:gutter="0" w:footer="0" w:header="0"/>
        </w:sectPr>
      </w:pPr>
    </w:p>
    <w:bookmarkStart w:id="90" w:name="page91"/>
    <w:bookmarkEnd w:id="9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0" w:lineRule="exact"/>
        <w:rPr>
          <w:sz w:val="20"/>
          <w:szCs w:val="20"/>
          <w:color w:val="auto"/>
        </w:rPr>
      </w:pPr>
    </w:p>
    <w:p>
      <w:pPr>
        <w:spacing w:after="0" w:line="30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83</w:t>
            </w:r>
          </w:p>
        </w:tc>
      </w:tr>
    </w:tbl>
    <w:p>
      <w:pPr>
        <w:sectPr>
          <w:pgSz w:w="11900" w:h="16838" w:orient="portrait"/>
          <w:cols w:equalWidth="0" w:num="1">
            <w:col w:w="11240"/>
          </w:cols>
          <w:pgMar w:left="320" w:top="166" w:right="339" w:bottom="1440" w:gutter="0" w:footer="0" w:header="0"/>
        </w:sectPr>
      </w:pPr>
    </w:p>
    <w:bookmarkStart w:id="91" w:name="page92"/>
    <w:bookmarkEnd w:id="9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Financial Condition and Capital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Long-term sustainable profitability is difficult to achieve and maintain over time and is highly dependent on various factors.</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ability to continue to generate revenue and achieve and maintain long-term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While we expect to maintain revenue from ongoing COVID-19 vaccine sales, future demand for COVID-19 vaccination is subject to uncertainty. Variations driven by factors such as new virus variants, regional policy changes, and public health measures may impact long-term demand of our COVID-19 vaccine. Consequently, our revenue projections are influenced by this inherent unpredictability.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completing research and preclinical and clinical development of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U.S. and non-U.S. marketing approvals for product candidates for which we complete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market access and favorable pricing terms in the United States, the European Union, and other key geographies;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furthering the development of our own manufacturing capabilities and manufacturing relationships with third parties in order to provide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adequate (in amount and quality) products and services to</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84</w:t>
            </w:r>
          </w:p>
        </w:tc>
      </w:tr>
    </w:tbl>
    <w:p>
      <w:pPr>
        <w:sectPr>
          <w:pgSz w:w="11900" w:h="16838" w:orient="portrait"/>
          <w:cols w:equalWidth="0" w:num="1">
            <w:col w:w="11240"/>
          </w:cols>
          <w:pgMar w:left="320" w:top="166" w:right="339" w:bottom="1440" w:gutter="0" w:footer="0" w:header="0"/>
        </w:sectPr>
      </w:pPr>
    </w:p>
    <w:bookmarkStart w:id="92" w:name="page93"/>
    <w:bookmarkEnd w:id="9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support clinical development and the market demand for our approved products and product candidates, if approved;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market acceptance of our approved products and product candidates as a treatment option;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launching and commercializing products for which we obtain marketing approval and reimbursement, either through collaborations or,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launched independently, by establishing a sales force, marketing and distribution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addressing any competing technological and market developments, in particular, declining demand for any of our approved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implementing additional internal systems and infrastructure;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negotiating favorable terms in any collaboration, licensing or other arrangements into which we may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managing our expenses;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maintaining, defending, protecting, enforcing and expanding our portfolio of intellectual property rights, including patents, trade secrets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know-how;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attracting, hiring and retaining qualified personnel.</w:t>
      </w:r>
    </w:p>
    <w:p>
      <w:pPr>
        <w:spacing w:after="0" w:line="33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financial condition and operating results have varied in the past and will continue to fluctuate from one financial period to the next due to a variety of factors, many of which are beyond our control.</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Factors relating to our business that may contribute to these fluctuations include the following, as well as other factors described elsewhere in this report: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size and timing of orders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or failures in advancement of existing or future product candidates into the clinic or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occurrence of adverse events during our clinical trials or post marketing authorization;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85</w:t>
            </w:r>
          </w:p>
        </w:tc>
      </w:tr>
    </w:tbl>
    <w:p>
      <w:pPr>
        <w:sectPr>
          <w:pgSz w:w="11900" w:h="16838" w:orient="portrait"/>
          <w:cols w:equalWidth="0" w:num="1">
            <w:col w:w="11240"/>
          </w:cols>
          <w:pgMar w:left="320" w:top="166" w:right="339" w:bottom="1440" w:gutter="0" w:footer="0" w:header="0"/>
        </w:sectPr>
      </w:pPr>
    </w:p>
    <w:bookmarkStart w:id="93" w:name="page94"/>
    <w:bookmarkEnd w:id="9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develop and manufacture our product candidates and commercialize and manufacture our COVID-19 vaccine and,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approved, our product candidates, at commercial scale, including risks associated with quality compliance, such as product design, manufacturing processes, supply chain management, and compliance with regulatory requirements;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manage our growth and spending;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execute our corporate objectives;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strategic decisions related to portfolio prioritization, which may result in certain potential one-time effects and charges and other material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 effects on our financial condition and results of operations;</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outcomes of research programs, clinical trials, or other product development or approval processes conducted by us and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our collaborators to develop and successfully commercialize products developed from our suite of therapeutic classes;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relationships, and any associated exclusivity terms, with collaborators;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contractual or other obligations to provide resources to fund our product candidates, and to provide resources to our collaborators or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collaborations themselves, including take-or-pay or similar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we repurchase outstanding ADSs under any share repurchase plans we may enter into in the future;</w:t>
      </w:r>
    </w:p>
    <w:p>
      <w:pPr>
        <w:spacing w:after="0" w:line="333"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associated with the international aspects of our business, including the conduct of clinical trials in multiple locations, and the risks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associated with potential international commercialization, including regulatory approval, market competition, public sentiment and consumer demand, supply chain disruptions, and changes to the law and regulatory policy, such as increases in tariffs, in different jurisdictions, such as the United States;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recalls or inventory losses caused by unforeseen events, cold chain interruption, testing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or decreased demand, and our ability to write down certain inventory;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report our financial results accurately and in a timely manner;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dependence on, and the need to attract and retain, key management and other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protect, maintain, defend and enforce our intellectual property rights;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prevent the theft or infringement, misappropriation or other violation of our intellectual property, trade secrets, know-how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86</w:t>
            </w:r>
          </w:p>
        </w:tc>
      </w:tr>
    </w:tbl>
    <w:p>
      <w:pPr>
        <w:sectPr>
          <w:pgSz w:w="11900" w:h="16838" w:orient="portrait"/>
          <w:cols w:equalWidth="0" w:num="1">
            <w:col w:w="11240"/>
          </w:cols>
          <w:pgMar w:left="320" w:top="166" w:right="339" w:bottom="1440" w:gutter="0" w:footer="0" w:header="0"/>
        </w:sectPr>
      </w:pPr>
    </w:p>
    <w:bookmarkStart w:id="94" w:name="page95"/>
    <w:bookmarkEnd w:id="9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and our collaborators’ ability to defend against claims of infringement of the intellectual property rights of third parties;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advantages that our competitors and potential competitors may have in securing funding, obtaining the rights to critical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or developing competing technologies or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additional capital that may be necessary to expand our business;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collaborators’ ability to obtain and devote additional capital that may be necessary to develop and commercialize products under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 agreements, including our COVID-19 vaccine;</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liability claims arising from the use of our COVID-19 vaccine and our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future products, if approved;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such as power outages, strikes, acts of terrorism or natural disasters;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use our net operating loss carryforwards to offset future taxable income;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of counterparty defaults within our asset management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or unpredictable pricing for the commodities we rely on, including as a result of inflation.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Each of the factors listed above may be affected by the changing impact of COVID-19 on the global community and the global economy.</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have incurred significant losses in the past and we may incur significant losses in the future.</w:t>
      </w:r>
    </w:p>
    <w:p>
      <w:pPr>
        <w:spacing w:after="0" w:line="21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Prior to the first full year of commercialization of our COVID-19 vaccine, for the year ended December 31, 2024, and for the three and nine months ended September 30, 2025, we incurred significant losses from operations due to our significant research and development expenses and our investment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87</w:t>
            </w:r>
          </w:p>
        </w:tc>
      </w:tr>
    </w:tbl>
    <w:p>
      <w:pPr>
        <w:sectPr>
          <w:pgSz w:w="11900" w:h="16838" w:orient="portrait"/>
          <w:cols w:equalWidth="0" w:num="1">
            <w:col w:w="11240"/>
          </w:cols>
          <w:pgMar w:left="320" w:top="166" w:right="339" w:bottom="1440" w:gutter="0" w:footer="0" w:header="0"/>
        </w:sectPr>
      </w:pPr>
    </w:p>
    <w:bookmarkStart w:id="95" w:name="page96"/>
    <w:bookmarkEnd w:id="9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manufacturing capabilities. Prior to commercialization of our COVID-19 vaccine, we funded our operations primarily from private placements or issuances of ordinary shares (including in the form of ADSs) in connection with our public offerings, generation of proceeds under our collaboration agreements, secured bank loans and issuance of a convertible note.</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200" w:lineRule="exact"/>
        <w:rPr>
          <w:sz w:val="20"/>
          <w:szCs w:val="20"/>
          <w:color w:val="auto"/>
        </w:rPr>
      </w:pPr>
    </w:p>
    <w:p>
      <w:pPr>
        <w:spacing w:after="0" w:line="3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execute on our strategic decisions related to portfolio prioritization, which may result in certain potential one-time effects and charges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material adverse effects on our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88</w:t>
            </w:r>
          </w:p>
        </w:tc>
      </w:tr>
    </w:tbl>
    <w:p>
      <w:pPr>
        <w:sectPr>
          <w:pgSz w:w="11900" w:h="16838" w:orient="portrait"/>
          <w:cols w:equalWidth="0" w:num="1">
            <w:col w:w="11240"/>
          </w:cols>
          <w:pgMar w:left="320" w:top="166" w:right="339" w:bottom="1440" w:gutter="0" w:footer="0" w:header="0"/>
        </w:sectPr>
      </w:pPr>
    </w:p>
    <w:bookmarkStart w:id="96" w:name="page97"/>
    <w:bookmarkEnd w:id="9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changes to our infrastructure in connection with our quality control, quality assurance, legal, compliance and other groups to support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operations as a public company and our product development and commercialization efforts, including changes to our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 and any other products for which we may obtain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marketing approval or emergency use authorization;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2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3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September 30, 2025.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2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addition, we have U.S. federal and state NOL carryforwards due to our subsidiaries in the United States, which may be subject to limitations on use after an ownership change.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89</w:t>
            </w:r>
          </w:p>
        </w:tc>
      </w:tr>
    </w:tbl>
    <w:p>
      <w:pPr>
        <w:sectPr>
          <w:pgSz w:w="11900" w:h="16838" w:orient="portrait"/>
          <w:cols w:equalWidth="0" w:num="1">
            <w:col w:w="11240"/>
          </w:cols>
          <w:pgMar w:left="320" w:top="166" w:right="339" w:bottom="1440" w:gutter="0" w:footer="0" w:header="0"/>
        </w:sectPr>
      </w:pPr>
    </w:p>
    <w:bookmarkStart w:id="97" w:name="page98"/>
    <w:bookmarkEnd w:id="9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 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200" w:lineRule="exact"/>
        <w:rPr>
          <w:sz w:val="20"/>
          <w:szCs w:val="20"/>
          <w:color w:val="auto"/>
        </w:rPr>
      </w:pPr>
    </w:p>
    <w:p>
      <w:pPr>
        <w:spacing w:after="0" w:line="30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90</w:t>
            </w:r>
          </w:p>
        </w:tc>
      </w:tr>
    </w:tbl>
    <w:p>
      <w:pPr>
        <w:sectPr>
          <w:pgSz w:w="11900" w:h="16838" w:orient="portrait"/>
          <w:cols w:equalWidth="0" w:num="1">
            <w:col w:w="11240"/>
          </w:cols>
          <w:pgMar w:left="320" w:top="166" w:right="339" w:bottom="1440" w:gutter="0" w:footer="0" w:header="0"/>
        </w:sectPr>
      </w:pPr>
    </w:p>
    <w:bookmarkStart w:id="98" w:name="page99"/>
    <w:bookmarkEnd w:id="9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other strategic transactions, including relating to any acquisitions, into which we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91</w:t>
            </w:r>
          </w:p>
        </w:tc>
      </w:tr>
    </w:tbl>
    <w:p>
      <w:pPr>
        <w:sectPr>
          <w:pgSz w:w="11900" w:h="16838" w:orient="portrait"/>
          <w:cols w:equalWidth="0" w:num="1">
            <w:col w:w="11240"/>
          </w:cols>
          <w:pgMar w:left="320" w:top="166" w:right="339" w:bottom="1440" w:gutter="0" w:footer="0" w:header="0"/>
        </w:sectPr>
      </w:pPr>
    </w:p>
    <w:bookmarkStart w:id="99" w:name="page100"/>
    <w:bookmarkEnd w:id="9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 xml:space="preserve">of our current and future programs, including the development of modular production and clinical facilities in various markets via our </w:t>
      </w:r>
      <w:r>
        <w:rPr>
          <w:rFonts w:ascii="Times New Roman" w:cs="Times New Roman" w:eastAsia="Times New Roman" w:hAnsi="Times New Roman"/>
          <w:sz w:val="18"/>
          <w:szCs w:val="18"/>
          <w:i w:val="1"/>
          <w:iCs w:val="1"/>
          <w:color w:val="080509"/>
        </w:rPr>
        <w:t xml:space="preserve">BioNTainer </w:t>
      </w:r>
      <w:r>
        <w:rPr>
          <w:rFonts w:ascii="Times New Roman" w:cs="Times New Roman" w:eastAsia="Times New Roman" w:hAnsi="Times New Roman"/>
          <w:sz w:val="18"/>
          <w:szCs w:val="18"/>
          <w:color w:val="080509"/>
        </w:rPr>
        <w:t>network; and</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92</w:t>
            </w:r>
          </w:p>
        </w:tc>
      </w:tr>
    </w:tbl>
    <w:p>
      <w:pPr>
        <w:sectPr>
          <w:pgSz w:w="11900" w:h="16838" w:orient="portrait"/>
          <w:cols w:equalWidth="0" w:num="1">
            <w:col w:w="11240"/>
          </w:cols>
          <w:pgMar w:left="320" w:top="166" w:right="339" w:bottom="1440" w:gutter="0" w:footer="0" w:header="0"/>
        </w:sectPr>
      </w:pPr>
    </w:p>
    <w:bookmarkStart w:id="100" w:name="page101"/>
    <w:bookmarkEnd w:id="10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harm our business, prospects, financial condition and results of operations, cause the price of the ADSs to decline, and negatively impact our ability to fund operations.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encounter difficulties in developing and expanding our company and managing such development and expansion, which could disrupt our operations.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 in January 2025 of Biotheus, a clinical-stage biotechnology company, as part of our oncology strategy, and our strategic initiatives more generally. In addition, our management may need to divert a disproportionate amount of its attention away from its day-to-day activities and devote a substantial amount of time to managing these development activities.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200" w:lineRule="exact"/>
        <w:rPr>
          <w:sz w:val="20"/>
          <w:szCs w:val="20"/>
          <w:color w:val="auto"/>
        </w:rPr>
      </w:pPr>
    </w:p>
    <w:p>
      <w:pPr>
        <w:spacing w:after="0" w:line="2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18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93</w:t>
            </w:r>
          </w:p>
        </w:tc>
      </w:tr>
    </w:tbl>
    <w:p>
      <w:pPr>
        <w:sectPr>
          <w:pgSz w:w="11900" w:h="16838" w:orient="portrait"/>
          <w:cols w:equalWidth="0" w:num="1">
            <w:col w:w="11240"/>
          </w:cols>
          <w:pgMar w:left="320" w:top="166" w:right="339" w:bottom="1440" w:gutter="0" w:footer="0" w:header="0"/>
        </w:sectPr>
      </w:pPr>
    </w:p>
    <w:bookmarkStart w:id="101" w:name="page102"/>
    <w:bookmarkEnd w:id="10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SEC or comply with Nasdaq listing requirements. In addition, we could make errors in our financial statements that could require us to restate our financial statements.</w:t>
      </w:r>
    </w:p>
    <w:p>
      <w:pPr>
        <w:spacing w:after="0" w:line="217"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 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 could contain material misstatements discovered in the future that could cause us to fail to meet our future reporting obligations and cause the price of the ADSs to decline.</w:t>
      </w:r>
    </w:p>
    <w:p>
      <w:pPr>
        <w:spacing w:after="0" w:line="19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fail to appropriately account for complex terms in our collaboration and licensing agreements, we could be required to restate our financial statements.</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collaboration and licensing agreements, including our license agreement with BMS, involve complex terms and significant judgment in determining the appropriate accounting treatment. The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94</w:t>
            </w:r>
          </w:p>
        </w:tc>
      </w:tr>
    </w:tbl>
    <w:p>
      <w:pPr>
        <w:sectPr>
          <w:pgSz w:w="11900" w:h="16838" w:orient="portrait"/>
          <w:cols w:equalWidth="0" w:num="1">
            <w:col w:w="11240"/>
          </w:cols>
          <w:pgMar w:left="320" w:top="166" w:right="339" w:bottom="1440" w:gutter="0" w:footer="0" w:header="0"/>
        </w:sectPr>
      </w:pPr>
    </w:p>
    <w:bookmarkStart w:id="102" w:name="page103"/>
    <w:bookmarkEnd w:id="10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accounting for such agreements is often subject to interpretation and evolving guidance. If our accounting assessments are later determined to be incorrect, we may be required to restate previously issued financial statements, which could have a material adverse effect on our financial condition and results of operations.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8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95</w:t>
            </w:r>
          </w:p>
        </w:tc>
      </w:tr>
    </w:tbl>
    <w:p>
      <w:pPr>
        <w:sectPr>
          <w:pgSz w:w="11900" w:h="16838" w:orient="portrait"/>
          <w:cols w:equalWidth="0" w:num="1">
            <w:col w:w="11240"/>
          </w:cols>
          <w:pgMar w:left="320" w:top="166" w:right="339" w:bottom="1440" w:gutter="0" w:footer="0" w:header="0"/>
        </w:sectPr>
      </w:pPr>
    </w:p>
    <w:bookmarkStart w:id="103" w:name="page104"/>
    <w:bookmarkEnd w:id="10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aspects of corporate governance. This allows us to follow certain corporate governance practices that differ in significant respects from the corporate governance requirements applicable to U.S. companies listed on Nasdaq.</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For example, we are exempt from regulations of Nasdaq that require a listed U.S. company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 majority of the board of directors consist of independent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 non-management directors to meet on a regular basis without management present;</w:t>
      </w:r>
    </w:p>
    <w:p>
      <w:pPr>
        <w:spacing w:after="0" w:line="33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adopt a code of conduct and promptly disclose any waivers of the code for directors or executive officers that should address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specified items;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compensation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nominating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solicit proxies and provide proxy statements for all shareholder meetings;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review related party transactions;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shareholder approval for the implementation of certain equity compensation plans and issuances of ordinary shares.</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96</w:t>
            </w:r>
          </w:p>
        </w:tc>
      </w:tr>
    </w:tbl>
    <w:p>
      <w:pPr>
        <w:sectPr>
          <w:pgSz w:w="11900" w:h="16838" w:orient="portrait"/>
          <w:cols w:equalWidth="0" w:num="1">
            <w:col w:w="11240"/>
          </w:cols>
          <w:pgMar w:left="320" w:top="166" w:right="339" w:bottom="1440" w:gutter="0" w:footer="0" w:header="0"/>
        </w:sectPr>
      </w:pPr>
    </w:p>
    <w:bookmarkStart w:id="104" w:name="page105"/>
    <w:bookmarkEnd w:id="10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the Middle East and Ukraine, and resulting sanctions imposed and retaliatory actions taken in response to such sanctions; or other catastrophic events.</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For example, prolonged or expanded conflicts, and political responses to global actions, could destabilize oil and gas supply and demand patterns, increase energy volatility and have severe adverse effects on regional and global supply chains and economies and our business. We also continue to evaluate the impacts that energy shortages may have on our partners, suppliers and service providers. Were any of these parties to experience significant impacts from any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w:t>
      </w:r>
    </w:p>
    <w:p>
      <w:pPr>
        <w:spacing w:after="0" w:line="200" w:lineRule="exact"/>
        <w:rPr>
          <w:sz w:val="20"/>
          <w:szCs w:val="20"/>
          <w:color w:val="auto"/>
        </w:rPr>
      </w:pPr>
    </w:p>
    <w:p>
      <w:pPr>
        <w:spacing w:after="0" w:line="30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Our insurance policies are expensive and protect us only from some business risks, which leaves us exposed to significant uninsured liabilities.</w:t>
      </w:r>
    </w:p>
    <w:p>
      <w:pPr>
        <w:spacing w:after="0" w:line="200" w:lineRule="exact"/>
        <w:rPr>
          <w:sz w:val="20"/>
          <w:szCs w:val="20"/>
          <w:color w:val="auto"/>
        </w:rPr>
      </w:pPr>
    </w:p>
    <w:p>
      <w:pPr>
        <w:spacing w:after="0" w:line="20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97</w:t>
            </w:r>
          </w:p>
        </w:tc>
      </w:tr>
    </w:tbl>
    <w:p>
      <w:pPr>
        <w:sectPr>
          <w:pgSz w:w="11900" w:h="16838" w:orient="portrait"/>
          <w:cols w:equalWidth="0" w:num="1">
            <w:col w:w="11240"/>
          </w:cols>
          <w:pgMar w:left="320" w:top="166" w:right="339" w:bottom="1440" w:gutter="0" w:footer="0" w:header="0"/>
        </w:sectPr>
      </w:pPr>
    </w:p>
    <w:bookmarkStart w:id="105" w:name="page106"/>
    <w:bookmarkEnd w:id="10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preventing or limiting the development and commercialization of any product candidates that we or our collaborators may develop.</w:t>
      </w:r>
    </w:p>
    <w:p>
      <w:pPr>
        <w:spacing w:after="0" w:line="33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38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the Federal Deposit Insurance Corporation, and Federal Reserve Board will provide access to uninsured funds in a timely fashion, or at all, in the event of the closure of banks or financial institutions.</w:t>
      </w:r>
    </w:p>
    <w:p>
      <w:pPr>
        <w:spacing w:after="0" w:line="240"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Business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 license application, or BLA, or a new drug application, or NDA, to the FDA, a Marketing Authorization Application, or MAA, to the EMA, and similar marketing applications to comparable global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98</w:t>
            </w:r>
          </w:p>
        </w:tc>
      </w:tr>
    </w:tbl>
    <w:p>
      <w:pPr>
        <w:sectPr>
          <w:pgSz w:w="11900" w:h="16838" w:orient="portrait"/>
          <w:cols w:equalWidth="0" w:num="1">
            <w:col w:w="11240"/>
          </w:cols>
          <w:pgMar w:left="320" w:top="166" w:right="339" w:bottom="1440" w:gutter="0" w:footer="0" w:header="0"/>
        </w:sectPr>
      </w:pPr>
    </w:p>
    <w:bookmarkStart w:id="106" w:name="page107"/>
    <w:bookmarkEnd w:id="10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authorities, for each product candidate and, consequently, the ultimate approval and commercial marketing of any product candidates.</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200" w:lineRule="exact"/>
        <w:rPr>
          <w:sz w:val="20"/>
          <w:szCs w:val="20"/>
          <w:color w:val="auto"/>
        </w:rPr>
      </w:pPr>
    </w:p>
    <w:p>
      <w:pPr>
        <w:spacing w:after="0" w:line="31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For example, the FDA’s approval of our LP.8.1-adapted monovalent COVID-19 vaccine is in a narrower population than our previous variant-adapted vaccines. In addition, we may experience delays or rejections based upon additional government regulation from future legislation or administrative action, or changes in regulatory agency policy during the period of product development, clinical trials, and the review process. Officials appointed by the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99</w:t>
            </w:r>
          </w:p>
        </w:tc>
      </w:tr>
    </w:tbl>
    <w:p>
      <w:pPr>
        <w:sectPr>
          <w:pgSz w:w="11900" w:h="16838" w:orient="portrait"/>
          <w:cols w:equalWidth="0" w:num="1">
            <w:col w:w="11240"/>
          </w:cols>
          <w:pgMar w:left="320" w:top="166" w:right="339" w:bottom="1440" w:gutter="0" w:footer="0" w:header="0"/>
        </w:sectPr>
      </w:pPr>
    </w:p>
    <w:bookmarkStart w:id="107" w:name="page108"/>
    <w:bookmarkEnd w:id="10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mRNA drug development carries substantial clinical development and regulatory risks due to limited regulatory experience with mRNA immunotherapies.</w:t>
      </w:r>
    </w:p>
    <w:p>
      <w:pPr>
        <w:spacing w:after="0" w:line="158"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To our knowledge, other than our and Moderna, Inc.’s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discovery efforts aimed at identifying potential immunotherapies may not be successful;</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nonclinical or preclinical study results may show product candidates to be less effective than desired or have harmful or problematic side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results may show the product candidates to be less effective than expected, including a failure to meet one or more endpoints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have unacceptable side effects or toxicities;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or distribution failures or insufficient supply of GMP materials for clinical trials or higher than expected cost could delay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set back clinical trials, or make our product candidates commercially unattractive;</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improvements in the manufacturing processes may not be sufficient to satisfy the clinical or commercial demand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regulatory requirements for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changes that we make to optimize our manufacturing, testing or formulating of GMP materials could impact the safety, tolerability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efficacy of our product candidates;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100</w:t>
            </w:r>
          </w:p>
        </w:tc>
      </w:tr>
    </w:tbl>
    <w:p>
      <w:pPr>
        <w:sectPr>
          <w:pgSz w:w="11900" w:h="16838" w:orient="portrait"/>
          <w:cols w:equalWidth="0" w:num="1">
            <w:col w:w="11240"/>
          </w:cols>
          <w:pgMar w:left="320" w:top="166" w:right="339" w:bottom="1440" w:gutter="0" w:footer="0" w:header="0"/>
        </w:sectPr>
      </w:pPr>
    </w:p>
    <w:bookmarkStart w:id="108" w:name="page109"/>
    <w:bookmarkEnd w:id="10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pricing or reimbursement issues or other factors could delay clinical trials or make any immunotherapy uneconomical or noncompetitive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other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changing social and political preferences regarding vaccines and mRNA therapies;</w:t>
      </w:r>
    </w:p>
    <w:p>
      <w:pPr>
        <w:spacing w:after="0" w:line="33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failure to timely advance our programs or receive the necessary regulatory approvals, or a delay in receiving such approvals, due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proprietary rights, products and technologies of our competitors may prevent our immunotherapies from being commercialized.</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For administrative purposes, some mRNA products may be classified together with gene therapy products by the FDA or other regulatory agencies. Unlike certain gene therapies that irreversibly alter cell DNA and may be subsequently subject to specific safety concerns, most mRNA products are not 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17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101</w:t>
            </w:r>
          </w:p>
        </w:tc>
      </w:tr>
    </w:tbl>
    <w:p>
      <w:pPr>
        <w:sectPr>
          <w:pgSz w:w="11900" w:h="16838" w:orient="portrait"/>
          <w:cols w:equalWidth="0" w:num="1">
            <w:col w:w="11240"/>
          </w:cols>
          <w:pgMar w:left="320" w:top="166" w:right="339" w:bottom="1440" w:gutter="0" w:footer="0" w:header="0"/>
        </w:sectPr>
      </w:pPr>
    </w:p>
    <w:bookmarkStart w:id="109" w:name="page110"/>
    <w:bookmarkEnd w:id="10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Clinical trials are strictly regulated and monitored by regulatory agencies, ethics committees, and sponsors. Despite this rigorous oversight, unexpected events may occur that could adversely impact patients’ safety and/or affect our ability to obtain regulatory approvals and, if approved, commercialize our product candidates.</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200" w:lineRule="exact"/>
        <w:rPr>
          <w:sz w:val="20"/>
          <w:szCs w:val="20"/>
          <w:color w:val="auto"/>
        </w:rPr>
      </w:pPr>
    </w:p>
    <w:p>
      <w:pPr>
        <w:spacing w:after="0" w:line="295"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If any of our product candidates receives marketing approval and we or others later identify undesirable effects caused by such products, a number of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withdraw their approval of the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recall a product or change the way such product is administered to patients;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additional restrictions may be imposed on the marketing of the particular product or the manufacturing processes for the product or any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component thereof;</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102</w:t>
            </w:r>
          </w:p>
        </w:tc>
      </w:tr>
    </w:tbl>
    <w:p>
      <w:pPr>
        <w:sectPr>
          <w:pgSz w:w="11900" w:h="16838" w:orient="portrait"/>
          <w:cols w:equalWidth="0" w:num="1">
            <w:col w:w="11240"/>
          </w:cols>
          <w:pgMar w:left="320" w:top="166" w:right="339" w:bottom="1440" w:gutter="0" w:footer="0" w:header="0"/>
        </w:sectPr>
      </w:pPr>
    </w:p>
    <w:bookmarkStart w:id="110" w:name="page111"/>
    <w:bookmarkEnd w:id="11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the addition of labeling statements, such as a “black box” warning or a contraindication;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implement a Risk Evaluation and Mitigation Strategy, or REMS, or create a Medication Guide outlining the risks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such side effects for distribution to patients;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product may become less competitive;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be negatively impacted.</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17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103</w:t>
            </w:r>
          </w:p>
        </w:tc>
      </w:tr>
    </w:tbl>
    <w:p>
      <w:pPr>
        <w:sectPr>
          <w:pgSz w:w="11900" w:h="16838" w:orient="portrait"/>
          <w:cols w:equalWidth="0" w:num="1">
            <w:col w:w="11240"/>
          </w:cols>
          <w:pgMar w:left="320" w:top="166" w:right="339" w:bottom="1440" w:gutter="0" w:footer="0" w:header="0"/>
        </w:sectPr>
      </w:pPr>
    </w:p>
    <w:bookmarkStart w:id="111" w:name="page112"/>
    <w:bookmarkEnd w:id="11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timelines we expect, if at all, and we cannot be sure that submission of INDs or similar applications will result in the FDA or other regulatory authorities allowing clinical trials to begin.</w:t>
      </w:r>
    </w:p>
    <w:p>
      <w:pPr>
        <w:spacing w:after="0" w:line="17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18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236"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other regulators, IRBs or ethics committees may not authorize us or our investigators to commence a clinical trial or conduct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at a prospective trial site for any number of reasons, including concerns regarding safety and aspects of the clinical trial design;</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experience delays in reaching, or fail to reach, agreement on favorable terms with prospective trial sites and prospective CROs,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which can be subject to extensive negotiation and may vary significantly among different CROs and trial sites;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optimized in the past and may in the future optimize our manufacturing processes, including through changes to the scale and site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of our preclinical studies and our early clinical trials may not be predictive of the success of later clinical trials, and interim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results of a clinical trial do not necessarily predict final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establish clinical endpoints that applicable regulatory authorities would consider clinically meaningful;</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an effort to optimize product features, we have made in the past and may continue to make changes to our product candidates after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commence clinical trials of a medicine which may require us to repeat earlier stages of clinical testing or delay later-stage testing of the medicine;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of any product candidates may fail to show safety or efficacy, or may produce negative or inconclusive results, and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decide, or regulators may require us, to conduct additional nonclinical studies or clinical trials, or we may decide to abandon product development programs;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differences in trial design between early-stage clinical trials and later-stage clinical trials may make it difficult to extrapolate the results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earlier clinical trials to later clinical trials;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104</w:t>
            </w:r>
          </w:p>
        </w:tc>
      </w:tr>
    </w:tbl>
    <w:p>
      <w:pPr>
        <w:sectPr>
          <w:pgSz w:w="11900" w:h="16838" w:orient="portrait"/>
          <w:cols w:equalWidth="0" w:num="1">
            <w:col w:w="11240"/>
          </w:cols>
          <w:pgMar w:left="320" w:top="166" w:right="339" w:bottom="1440" w:gutter="0" w:footer="0" w:header="0"/>
        </w:sectPr>
      </w:pPr>
    </w:p>
    <w:bookmarkStart w:id="112" w:name="page113"/>
    <w:bookmarkEnd w:id="11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and clinical data are often susceptible to varying interpretations and analyses, and many product candidates believed to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performed satisfactorily in preclinical studies and clinical trials have nonetheless failed to obtain marketing approval;</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product candidates may have undesirable effects or other unexpected characteristics. One or more of such effects or events could cause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of trial participants required for clinical trials of any product candidates may be larger than we anticipate, identification of trial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2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despite robust sponsor oversight, our and our collaborators’ third-party contractors may fail to comply with regulatory requirements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meet their contractual obligations in a timely manner, or at all, or may deviate from the clinical trial protocol or withdraw from the trial, which may require the addition of new clinical trial sites;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may elect to impose a clinical hold, or we, our investigators, IRBs or ethics committees may elect to suspend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research or trials for various reasons, including noncompliance with regulatory requirements or a finding that the participants are being exposed to an unacceptable benefit-risk ratio;</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respect to infectious disease vaccine trials in particular, we have to wait for a particular level of infection in the placebo arm in order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assess protection provided by vaccine, and we cannot control the rate of exposure or infection, which can make timing uncertain;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preclinical or nonclinical testing and studies and clinical trials of any product candidates may be greater than we anticipate;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supply or quality of our product candidates or other materials necessary to conduct clinical trials may be insufficient or inadequate;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or efficacy concerns regarding our product candidates may result from any concerns arising from nonclinical or clinical testing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therapies targeting a similar disease state or other therapies, such as gene therapy, that are perceived as similar to ours;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or other regulatory authorities may require us to submit additional data, such as long-term toxicology studies, or impose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requirements before permitting us to initiate a clinical trial.</w:t>
      </w:r>
    </w:p>
    <w:p>
      <w:pPr>
        <w:spacing w:after="0" w:line="21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105</w:t>
            </w:r>
          </w:p>
        </w:tc>
      </w:tr>
    </w:tbl>
    <w:p>
      <w:pPr>
        <w:sectPr>
          <w:pgSz w:w="11900" w:h="16838" w:orient="portrait"/>
          <w:cols w:equalWidth="0" w:num="1">
            <w:col w:w="11240"/>
          </w:cols>
          <w:pgMar w:left="320" w:top="166" w:right="339" w:bottom="1440" w:gutter="0" w:footer="0" w:header="0"/>
        </w:sectPr>
      </w:pPr>
    </w:p>
    <w:bookmarkStart w:id="113" w:name="page114"/>
    <w:bookmarkEnd w:id="11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23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w:t>
      </w:r>
    </w:p>
    <w:p>
      <w:pPr>
        <w:spacing w:after="0" w:line="234"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080509"/>
        </w:rPr>
        <w:t xml:space="preserve">In addition, on June 28, 2024, the Supreme Court overturned the </w:t>
      </w:r>
      <w:r>
        <w:rPr>
          <w:rFonts w:ascii="Times New Roman" w:cs="Times New Roman" w:eastAsia="Times New Roman" w:hAnsi="Times New Roman"/>
          <w:sz w:val="18"/>
          <w:szCs w:val="18"/>
          <w:i w:val="1"/>
          <w:iCs w:val="1"/>
          <w:color w:val="080509"/>
        </w:rPr>
        <w:t>Chevron</w:t>
      </w:r>
      <w:r>
        <w:rPr>
          <w:rFonts w:ascii="Times New Roman" w:cs="Times New Roman" w:eastAsia="Times New Roman" w:hAnsi="Times New Roman"/>
          <w:sz w:val="18"/>
          <w:szCs w:val="18"/>
          <w:color w:val="080509"/>
        </w:rPr>
        <w:t xml:space="preserve"> doctrine in the combined cases of </w:t>
      </w:r>
      <w:r>
        <w:rPr>
          <w:rFonts w:ascii="Times New Roman" w:cs="Times New Roman" w:eastAsia="Times New Roman" w:hAnsi="Times New Roman"/>
          <w:sz w:val="18"/>
          <w:szCs w:val="18"/>
          <w:i w:val="1"/>
          <w:iCs w:val="1"/>
          <w:color w:val="080509"/>
        </w:rPr>
        <w:t>Loper Bright Enterprises v.</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 xml:space="preserve">Raimondo </w:t>
      </w:r>
      <w:r>
        <w:rPr>
          <w:rFonts w:ascii="Times New Roman" w:cs="Times New Roman" w:eastAsia="Times New Roman" w:hAnsi="Times New Roman"/>
          <w:sz w:val="18"/>
          <w:szCs w:val="18"/>
          <w:color w:val="080509"/>
        </w:rPr>
        <w:t>and</w:t>
      </w:r>
      <w:r>
        <w:rPr>
          <w:rFonts w:ascii="Times New Roman" w:cs="Times New Roman" w:eastAsia="Times New Roman" w:hAnsi="Times New Roman"/>
          <w:sz w:val="18"/>
          <w:szCs w:val="18"/>
          <w:i w:val="1"/>
          <w:iCs w:val="1"/>
          <w:color w:val="080509"/>
        </w:rPr>
        <w:t xml:space="preserve"> Relentless Inc. v. Department of Commerce</w:t>
      </w:r>
      <w:r>
        <w:rPr>
          <w:rFonts w:ascii="Times New Roman" w:cs="Times New Roman" w:eastAsia="Times New Roman" w:hAnsi="Times New Roman"/>
          <w:sz w:val="18"/>
          <w:szCs w:val="18"/>
          <w:color w:val="080509"/>
        </w:rPr>
        <w:t>. The</w:t>
      </w:r>
      <w:r>
        <w:rPr>
          <w:rFonts w:ascii="Times New Roman" w:cs="Times New Roman" w:eastAsia="Times New Roman" w:hAnsi="Times New Roman"/>
          <w:sz w:val="18"/>
          <w:szCs w:val="18"/>
          <w:i w:val="1"/>
          <w:iCs w:val="1"/>
          <w:color w:val="080509"/>
        </w:rPr>
        <w:t xml:space="preserve"> Chevron </w:t>
      </w:r>
      <w:r>
        <w:rPr>
          <w:rFonts w:ascii="Times New Roman" w:cs="Times New Roman" w:eastAsia="Times New Roman" w:hAnsi="Times New Roman"/>
          <w:sz w:val="18"/>
          <w:szCs w:val="18"/>
          <w:color w:val="080509"/>
        </w:rPr>
        <w:t>doctrine gave deference to regulatory agencies in litigation against</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the FDA and other agencies. In addition, the Supreme Court decided </w:t>
      </w:r>
      <w:r>
        <w:rPr>
          <w:rFonts w:ascii="Times New Roman" w:cs="Times New Roman" w:eastAsia="Times New Roman" w:hAnsi="Times New Roman"/>
          <w:sz w:val="18"/>
          <w:szCs w:val="18"/>
          <w:i w:val="1"/>
          <w:iCs w:val="1"/>
          <w:color w:val="080509"/>
        </w:rPr>
        <w:t>Comer Post, Inc. v. Board of Governors of the Federal Reserve System</w:t>
      </w:r>
      <w:r>
        <w:rPr>
          <w:rFonts w:ascii="Times New Roman" w:cs="Times New Roman" w:eastAsia="Times New Roman" w:hAnsi="Times New Roman"/>
          <w:sz w:val="18"/>
          <w:szCs w:val="18"/>
          <w:color w:val="080509"/>
        </w:rPr>
        <w:t>, which lengthened the time in which some challenges to agency rules can be</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106</w:t>
            </w:r>
          </w:p>
        </w:tc>
      </w:tr>
    </w:tbl>
    <w:p>
      <w:pPr>
        <w:sectPr>
          <w:pgSz w:w="11900" w:h="16838" w:orient="portrait"/>
          <w:cols w:equalWidth="0" w:num="1">
            <w:col w:w="11240"/>
          </w:cols>
          <w:pgMar w:left="320" w:top="166" w:right="339" w:bottom="1440" w:gutter="0" w:footer="0" w:header="0"/>
        </w:sectPr>
      </w:pPr>
    </w:p>
    <w:bookmarkStart w:id="114" w:name="page115"/>
    <w:bookmarkEnd w:id="11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a specific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severity of the disease under investigation;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complexity and design of the study protocol;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size of the patient population;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eligibility criteria for the study in question;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proximity and availability of clinical study sites for prospective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availability of competing therapies and clinical trials, including between our own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efforts to facilitate timely enrollment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 referral practices of physicians;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monitor trial participants adequately during and after treatment;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recruit clinical trial investigators with the appropriate competencies and experience;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107</w:t>
            </w:r>
          </w:p>
        </w:tc>
      </w:tr>
    </w:tbl>
    <w:p>
      <w:pPr>
        <w:sectPr>
          <w:pgSz w:w="11900" w:h="16838" w:orient="portrait"/>
          <w:cols w:equalWidth="0" w:num="1">
            <w:col w:w="11240"/>
          </w:cols>
          <w:pgMar w:left="320" w:top="166" w:right="339" w:bottom="1440" w:gutter="0" w:footer="0" w:header="0"/>
        </w:sectPr>
      </w:pPr>
    </w:p>
    <w:bookmarkStart w:id="115" w:name="page116"/>
    <w:bookmarkEnd w:id="11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clinicians’ and trial participants’ perceptions of the potential advantages and side effects of the product candidate being studied in relation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other available therapies, including any new drugs or treatments that may be approved for the indications we are investigating;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and maintain participant informed consent;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major changes in the approval status of competitor investigational products during the clinical trial period;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risk that trial participants enrolled in clinical trials will not complete a clinical trial.</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200" w:lineRule="exact"/>
        <w:rPr>
          <w:sz w:val="20"/>
          <w:szCs w:val="20"/>
          <w:color w:val="auto"/>
        </w:rPr>
      </w:pPr>
    </w:p>
    <w:p>
      <w:pPr>
        <w:spacing w:after="0" w:line="30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17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regulatory requirements in such countries;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changes in tariffs, trade barriers, price and exchange controls and other regulatory requirements;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108</w:t>
            </w:r>
          </w:p>
        </w:tc>
      </w:tr>
    </w:tbl>
    <w:p>
      <w:pPr>
        <w:sectPr>
          <w:pgSz w:w="11900" w:h="16838" w:orient="portrait"/>
          <w:cols w:equalWidth="0" w:num="1">
            <w:col w:w="11240"/>
          </w:cols>
          <w:pgMar w:left="320" w:top="166" w:right="339" w:bottom="1440" w:gutter="0" w:footer="0" w:header="0"/>
        </w:sectPr>
      </w:pPr>
    </w:p>
    <w:bookmarkStart w:id="116" w:name="page117"/>
    <w:bookmarkEnd w:id="11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difficulties in managing the logistics and transportation of storing and shipping product candidates produced in Germany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the product candidate to the patient abroad;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and export requirements and restrictions;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restrictions on transfers of information, including certain technologies and personal data;</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changes to the political climate, public sentiment, and government policy preferences in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economies and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compliance with tax, employment, immigration and labor laws for employees living or traveling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taxes, including withholding of payroll taxes;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currency fluctuations, which could result in increased operating expenses and reduced revenue, and other obligations incident to doing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 another country;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staffing and managing operations outside of Germany;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workforce uncertainty in countries where labor unrest is more common;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payor reimbursement regimes, governmental payors or patient self-pay systems, and price controls;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liability under the U.S. Foreign Corrupt Practices Act of 1977 or comparable regulations in other jurisdictions;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enforcing our contractual and intellectual property rights, especially in those countries that do not respect and protect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rights to the same extent as Germany and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resulting from geopolitical actions, including war and terrorism, or public health epidemics or pandemics.</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109</w:t>
            </w:r>
          </w:p>
        </w:tc>
      </w:tr>
    </w:tbl>
    <w:p>
      <w:pPr>
        <w:sectPr>
          <w:pgSz w:w="11900" w:h="16838" w:orient="portrait"/>
          <w:cols w:equalWidth="0" w:num="1">
            <w:col w:w="11240"/>
          </w:cols>
          <w:pgMar w:left="320" w:top="166" w:right="339" w:bottom="1440" w:gutter="0" w:footer="0" w:header="0"/>
        </w:sectPr>
      </w:pPr>
    </w:p>
    <w:bookmarkStart w:id="117" w:name="page118"/>
    <w:bookmarkEnd w:id="11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Further, governments may turn, and have turned, to trade barriers to protect their domestic industries against foreign imports, thereby increasing our cost to operate globally. If significant tariffs or other restrictions are imposed on imports by the United States and related countermeasures are taken by impacted countries, our business, including operating results, cash flows, and financial condition, may be adversely affected. On April 2, 2025, the Trump administration imposed tariffs including a 10% baseline tariff on all countries, with that baseline supplemented in certain cases by additional tariffs that vary by nation, product or industry. Reciprocal tariffs on U.S. goods have been imposed by, among others, China, Canada, and the European Union. On July 28, 2025, the Trump administration announced a trade agreement with the European Union that included a 15% tariff on most imports from the European Union. Furthermore, on September 25, 2025, the Trump administration announced a 100% tariff on certain imported branded pharmaceuticals, subject to certain exceptions. While tariffs with certain countries have been temporarily reduced or paused, the imposition of new tariffs will likely be met with further reciprocal tariffs, thus increasing the possibility of a global trade war. If further tariffs are imposed on a broader range of imports, or if retaliatory trade measures are enacted by affected countries, these factors could significantly increase the cost to our global clinical research and manufacturing activities, 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spacing w:after="0" w:line="2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extent to which the COVID-19 virus continues to impact our operations, including our clinical trial operations, in its endemic stage will depend on future developments, which are highly uncertain and cannot be predicted with confidence, including new outbreaks, new information which may emerge concerning the severity of COVID-19 and the actions to contain COVID-19 or treat its impact, among others. In the future, similar events could affect our ability to manufacture and commercialize our product candidates.</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110</w:t>
            </w:r>
          </w:p>
        </w:tc>
      </w:tr>
    </w:tbl>
    <w:p>
      <w:pPr>
        <w:sectPr>
          <w:pgSz w:w="11900" w:h="16838" w:orient="portrait"/>
          <w:cols w:equalWidth="0" w:num="1">
            <w:col w:w="11240"/>
          </w:cols>
          <w:pgMar w:left="320" w:top="166" w:right="339" w:bottom="1440" w:gutter="0" w:footer="0" w:header="0"/>
        </w:sectPr>
      </w:pPr>
    </w:p>
    <w:bookmarkStart w:id="118" w:name="page119"/>
    <w:bookmarkEnd w:id="11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which would be costly and time-consuming and delay or permanently halt our development of a product candidate.</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These and other risks associated with our international operations and our collaborations with our collaborators may materially adversely affect our ability to attain or maintain profitable operations.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200" w:lineRule="exact"/>
        <w:rPr>
          <w:sz w:val="20"/>
          <w:szCs w:val="20"/>
          <w:color w:val="auto"/>
        </w:rPr>
      </w:pPr>
    </w:p>
    <w:p>
      <w:pPr>
        <w:spacing w:after="0" w:line="3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Results of earlier studies and trials of our product candidates may not be predictive of future trial results.</w:t>
      </w:r>
    </w:p>
    <w:p>
      <w:pPr>
        <w:spacing w:after="0" w:line="21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111</w:t>
            </w:r>
          </w:p>
        </w:tc>
      </w:tr>
    </w:tbl>
    <w:p>
      <w:pPr>
        <w:sectPr>
          <w:pgSz w:w="11900" w:h="16838" w:orient="portrait"/>
          <w:cols w:equalWidth="0" w:num="1">
            <w:col w:w="11240"/>
          </w:cols>
          <w:pgMar w:left="320" w:top="166" w:right="339" w:bottom="1440" w:gutter="0" w:footer="0" w:header="0"/>
        </w:sectPr>
      </w:pPr>
    </w:p>
    <w:bookmarkStart w:id="119" w:name="page120"/>
    <w:bookmarkEnd w:id="11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There is typically an extremely high rate of attrition for product candidates across categories of medicines proceeding through clinical trials.</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24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23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112</w:t>
            </w:r>
          </w:p>
        </w:tc>
      </w:tr>
    </w:tbl>
    <w:p>
      <w:pPr>
        <w:sectPr>
          <w:pgSz w:w="11900" w:h="16838" w:orient="portrait"/>
          <w:cols w:equalWidth="0" w:num="1">
            <w:col w:w="11240"/>
          </w:cols>
          <w:pgMar w:left="320" w:top="166" w:right="339" w:bottom="1440" w:gutter="0" w:footer="0" w:header="0"/>
        </w:sectPr>
      </w:pPr>
    </w:p>
    <w:bookmarkStart w:id="120" w:name="page121"/>
    <w:bookmarkEnd w:id="12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research methodology used may not be successful in identifying potential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may develop alternatives that render our product candidates obsolete;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we develop may nevertheless be covered by third parties’ patents or other exclusive rights;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on further study, be shown to have harmful side effects or other characteristics that indicate it is unlikely to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or otherwise does not meet applicable regulatory criteria;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discontinue the development of a product candidate;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not be capable of being produced in commercial quantities at an acceptable cost, or at all;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approved product may not be accepted as safe and effective by trial participants, the medical community or third-party payors.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are unsuccessful in identifying and developing additional products, our potential for growth may be impaired.</w:t>
      </w:r>
    </w:p>
    <w:p>
      <w:pPr>
        <w:spacing w:after="0" w:line="2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individuals and increased our security generally. We currently do not have “key person” insurance on any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113</w:t>
            </w:r>
          </w:p>
        </w:tc>
      </w:tr>
    </w:tbl>
    <w:p>
      <w:pPr>
        <w:sectPr>
          <w:pgSz w:w="11900" w:h="16838" w:orient="portrait"/>
          <w:cols w:equalWidth="0" w:num="1">
            <w:col w:w="11240"/>
          </w:cols>
          <w:pgMar w:left="320" w:top="166" w:right="339" w:bottom="1440" w:gutter="0" w:footer="0" w:header="0"/>
        </w:sectPr>
      </w:pPr>
    </w:p>
    <w:bookmarkStart w:id="121" w:name="page122"/>
    <w:bookmarkEnd w:id="12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23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114</w:t>
            </w:r>
          </w:p>
        </w:tc>
      </w:tr>
    </w:tbl>
    <w:p>
      <w:pPr>
        <w:sectPr>
          <w:pgSz w:w="11900" w:h="16838" w:orient="portrait"/>
          <w:cols w:equalWidth="0" w:num="1">
            <w:col w:w="11240"/>
          </w:cols>
          <w:pgMar w:left="320" w:top="166" w:right="339" w:bottom="1440" w:gutter="0" w:footer="0" w:header="0"/>
        </w:sectPr>
      </w:pPr>
    </w:p>
    <w:bookmarkStart w:id="122" w:name="page123"/>
    <w:bookmarkEnd w:id="12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Employment-related disputes, including employee litigation and unfavorable publicity, could negatively affect our future business.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115</w:t>
            </w:r>
          </w:p>
        </w:tc>
      </w:tr>
    </w:tbl>
    <w:p>
      <w:pPr>
        <w:sectPr>
          <w:pgSz w:w="11900" w:h="16838" w:orient="portrait"/>
          <w:cols w:equalWidth="0" w:num="1">
            <w:col w:w="11240"/>
          </w:cols>
          <w:pgMar w:left="320" w:top="166" w:right="339" w:bottom="1440" w:gutter="0" w:footer="0" w:header="0"/>
        </w:sectPr>
      </w:pPr>
    </w:p>
    <w:bookmarkStart w:id="123" w:name="page124"/>
    <w:bookmarkEnd w:id="12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Product liability lawsuits against us could cause us to incur substantial liabilities and could limit commercialization of our current or future product candidates.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claims that our products and/or our product candidates have caused injuries, we could incur substantial liabilities. Regardless of merit or eventual outcome, liability claims may result 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decreased demand for any product or product candidate that we may develop;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loss of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substantial monetary awards to patients, healthy volunteers or their children;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time and costs to defend the related litigation;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withdrawal of clinical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inability to commercialize any products or product candidates that we may develop;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injury to our reputation and significant negative media attention.</w:t>
      </w:r>
    </w:p>
    <w:p>
      <w:pPr>
        <w:spacing w:after="0" w:line="33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We carry clinical trial insurance and product liability insurance, which we believe to be sufficient in light of our current clinical programs and commercial operations. However, the amount of coverage we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116</w:t>
            </w:r>
          </w:p>
        </w:tc>
      </w:tr>
    </w:tbl>
    <w:p>
      <w:pPr>
        <w:sectPr>
          <w:pgSz w:w="11900" w:h="16838" w:orient="portrait"/>
          <w:cols w:equalWidth="0" w:num="1">
            <w:col w:w="11240"/>
          </w:cols>
          <w:pgMar w:left="320" w:top="166" w:right="339" w:bottom="1440" w:gutter="0" w:footer="0" w:header="0"/>
        </w:sectPr>
      </w:pPr>
    </w:p>
    <w:bookmarkStart w:id="124" w:name="page125"/>
    <w:bookmarkEnd w:id="12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our products become subject to a product recall it could harm our reputation, business and financial results.</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or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200" w:lineRule="exact"/>
        <w:rPr>
          <w:sz w:val="20"/>
          <w:szCs w:val="20"/>
          <w:color w:val="auto"/>
        </w:rPr>
      </w:pPr>
    </w:p>
    <w:p>
      <w:pPr>
        <w:spacing w:after="0" w:line="30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200" w:lineRule="exact"/>
        <w:rPr>
          <w:sz w:val="20"/>
          <w:szCs w:val="20"/>
          <w:color w:val="auto"/>
        </w:rPr>
      </w:pPr>
    </w:p>
    <w:p>
      <w:pPr>
        <w:spacing w:after="0" w:line="30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117</w:t>
            </w:r>
          </w:p>
        </w:tc>
      </w:tr>
    </w:tbl>
    <w:p>
      <w:pPr>
        <w:sectPr>
          <w:pgSz w:w="11900" w:h="16838" w:orient="portrait"/>
          <w:cols w:equalWidth="0" w:num="1">
            <w:col w:w="11240"/>
          </w:cols>
          <w:pgMar w:left="320" w:top="166" w:right="339" w:bottom="1440" w:gutter="0" w:footer="0" w:header="0"/>
        </w:sectPr>
      </w:pPr>
    </w:p>
    <w:bookmarkStart w:id="125" w:name="page126"/>
    <w:bookmarkEnd w:id="12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18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believe we must address climate risks from our own contribution to climate change (inside-out perspective),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spacing w:after="0" w:line="240"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any potential SEC rules that could require registrants to provide additional climate-related disclosures in future periods, and other possible obligations.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118</w:t>
            </w:r>
          </w:p>
        </w:tc>
      </w:tr>
    </w:tbl>
    <w:p>
      <w:pPr>
        <w:sectPr>
          <w:pgSz w:w="11900" w:h="16838" w:orient="portrait"/>
          <w:cols w:equalWidth="0" w:num="1">
            <w:col w:w="11240"/>
          </w:cols>
          <w:pgMar w:left="320" w:top="166" w:right="339" w:bottom="1440" w:gutter="0" w:footer="0" w:header="0"/>
        </w:sectPr>
      </w:pPr>
    </w:p>
    <w:bookmarkStart w:id="126" w:name="page127"/>
    <w:bookmarkEnd w:id="12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the Manufacturing of our COVID-19 Vaccine, our Product Candidates and Future Pipeline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200" w:lineRule="exact"/>
        <w:rPr>
          <w:sz w:val="20"/>
          <w:szCs w:val="20"/>
          <w:color w:val="auto"/>
        </w:rPr>
      </w:pPr>
    </w:p>
    <w:p>
      <w:pPr>
        <w:spacing w:after="0" w:line="30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23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119</w:t>
            </w:r>
          </w:p>
        </w:tc>
      </w:tr>
    </w:tbl>
    <w:p>
      <w:pPr>
        <w:sectPr>
          <w:pgSz w:w="11900" w:h="16838" w:orient="portrait"/>
          <w:cols w:equalWidth="0" w:num="1">
            <w:col w:w="11240"/>
          </w:cols>
          <w:pgMar w:left="320" w:top="166" w:right="339" w:bottom="1440" w:gutter="0" w:footer="0" w:header="0"/>
        </w:sectPr>
      </w:pPr>
    </w:p>
    <w:bookmarkStart w:id="127" w:name="page128"/>
    <w:bookmarkEnd w:id="12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7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239"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200" w:lineRule="exact"/>
        <w:rPr>
          <w:sz w:val="20"/>
          <w:szCs w:val="20"/>
          <w:color w:val="auto"/>
        </w:rPr>
      </w:pPr>
    </w:p>
    <w:p>
      <w:pPr>
        <w:spacing w:after="0" w:line="30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120</w:t>
            </w:r>
          </w:p>
        </w:tc>
      </w:tr>
    </w:tbl>
    <w:p>
      <w:pPr>
        <w:sectPr>
          <w:pgSz w:w="11900" w:h="16838" w:orient="portrait"/>
          <w:cols w:equalWidth="0" w:num="1">
            <w:col w:w="11240"/>
          </w:cols>
          <w:pgMar w:left="320" w:top="166" w:right="339" w:bottom="1440" w:gutter="0" w:footer="0" w:header="0"/>
        </w:sectPr>
      </w:pPr>
    </w:p>
    <w:bookmarkStart w:id="128" w:name="page129"/>
    <w:bookmarkEnd w:id="12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logistics associated with the collection of a patient’s tumor, blood or other tissue sample;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such samples to a facility for genetic sequencing;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next-generation sequencing of the tumor mRNA;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biopsy of a sufficient quantity of cancerous tissue to allow for proper sequencing and identification of tumor-specific mutations;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identification of appropriate tumor-specific mutations;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use of a software program, including proprietary and open source components, which is hosted in the cloud and a part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 to assist with the design of the patient-specific mRNA, which software must be maintained and secured;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design of the patient-specific mRNA that encodes for the required neoantigens;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batch-specific manufacturing failures or issues that arise due to the uniqueness of each patient-specific batch that may not have been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foreseen;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quality control testing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failures of batches placed on stability;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shortages or quality control issues with single-use assemblies, consumables or critical parts sourced from third-party vendors that must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changed out for each patient-specific batch;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costs associated with individualized manufacturing that may adversely affect our ability to continue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successful and timely manufacture and release of the patient-specific batch;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shipment issues encountered during transport of the batch to the site of patient care;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define a consistent safety profile at a given dose when each participant receives a unique treatment;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reliance on single source suppliers.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1"/>
          <w:szCs w:val="21"/>
          <w:b w:val="1"/>
          <w:bCs w:val="1"/>
          <w:color w:val="C3C3C3"/>
        </w:rPr>
        <w:t>121</w:t>
      </w:r>
    </w:p>
    <w:p>
      <w:pPr>
        <w:sectPr>
          <w:pgSz w:w="11900" w:h="16838" w:orient="portrait"/>
          <w:cols w:equalWidth="0" w:num="1">
            <w:col w:w="11240"/>
          </w:cols>
          <w:pgMar w:left="320" w:top="166" w:right="339" w:bottom="1440" w:gutter="0" w:footer="0" w:header="0"/>
          <w:type w:val="continuous"/>
        </w:sectPr>
      </w:pPr>
    </w:p>
    <w:bookmarkStart w:id="129" w:name="page130"/>
    <w:bookmarkEnd w:id="12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and the construction of a facility to support manufacturing of our Individualized Vaccines Against Cancer candidates. All internal manufacturing is performed under GMP guidelines. We also 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units, experience difficulties, including related to manufacturing, product release, shelf life, testing, storage and supply chain management or shipping, our clinical development programs may be delayed or suspended until we or our external CMOs can resume operations. We may also be required to incur significant expenditures to resolve such difficulties.</w:t>
      </w:r>
    </w:p>
    <w:p>
      <w:pPr>
        <w:spacing w:after="0" w:line="200" w:lineRule="exact"/>
        <w:rPr>
          <w:sz w:val="20"/>
          <w:szCs w:val="20"/>
          <w:color w:val="auto"/>
        </w:rPr>
      </w:pPr>
    </w:p>
    <w:p>
      <w:pPr>
        <w:spacing w:after="0" w:line="30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122</w:t>
            </w:r>
          </w:p>
        </w:tc>
      </w:tr>
    </w:tbl>
    <w:p>
      <w:pPr>
        <w:sectPr>
          <w:pgSz w:w="11900" w:h="16838" w:orient="portrait"/>
          <w:cols w:equalWidth="0" w:num="1">
            <w:col w:w="11240"/>
          </w:cols>
          <w:pgMar w:left="320" w:top="166" w:right="339" w:bottom="1440" w:gutter="0" w:footer="0" w:header="0"/>
        </w:sectPr>
      </w:pPr>
    </w:p>
    <w:bookmarkStart w:id="130" w:name="page131"/>
    <w:bookmarkEnd w:id="13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Significant inventory write-downs or redundant manufacturing expenses would negatively impact our results of operations.</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123</w:t>
            </w:r>
          </w:p>
        </w:tc>
      </w:tr>
    </w:tbl>
    <w:p>
      <w:pPr>
        <w:sectPr>
          <w:pgSz w:w="11900" w:h="16838" w:orient="portrait"/>
          <w:cols w:equalWidth="0" w:num="1">
            <w:col w:w="11240"/>
          </w:cols>
          <w:pgMar w:left="320" w:top="166" w:right="339" w:bottom="1440" w:gutter="0" w:footer="0" w:header="0"/>
        </w:sectPr>
      </w:pPr>
    </w:p>
    <w:bookmarkStart w:id="131" w:name="page132"/>
    <w:bookmarkEnd w:id="13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18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 resulting in loss of potential product sales revenue, cost overruns and delays to clinical timelines for our clinical programs, which could be extensive. Such production process issues include but are not limited to:</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critical deviations in the manufacturing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and equipment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contamination of the product due to an ineffective quality control strategy;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contamination as assessed by the facility and utility environmental monitoring program;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process, equipment or analytical change management, resulting in failed lot release criteria;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124</w:t>
            </w:r>
          </w:p>
        </w:tc>
      </w:tr>
    </w:tbl>
    <w:p>
      <w:pPr>
        <w:sectPr>
          <w:pgSz w:w="11900" w:h="16838" w:orient="portrait"/>
          <w:cols w:equalWidth="0" w:num="1">
            <w:col w:w="11240"/>
          </w:cols>
          <w:pgMar w:left="320" w:top="166" w:right="339" w:bottom="1440" w:gutter="0" w:footer="0" w:header="0"/>
        </w:sectPr>
      </w:pPr>
    </w:p>
    <w:bookmarkStart w:id="132" w:name="page133"/>
    <w:bookmarkEnd w:id="13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raw material failures due to ineffective supplier qualification or regulatory compliance issues at critical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product 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lot release or facility and utility quality control testing;</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corrective actions or preventative actions taken to correct or avoid critical deviations due to our developing understanding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manufacturing process as we scale;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or defective components or consumables.</w:t>
      </w:r>
    </w:p>
    <w:p>
      <w:pPr>
        <w:spacing w:after="0" w:line="33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200" w:lineRule="exact"/>
        <w:rPr>
          <w:sz w:val="20"/>
          <w:szCs w:val="20"/>
          <w:color w:val="auto"/>
        </w:rPr>
      </w:pPr>
    </w:p>
    <w:p>
      <w:pPr>
        <w:spacing w:after="0" w:line="26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200" w:lineRule="exact"/>
        <w:rPr>
          <w:sz w:val="20"/>
          <w:szCs w:val="20"/>
          <w:color w:val="auto"/>
        </w:rPr>
      </w:pPr>
    </w:p>
    <w:p>
      <w:pPr>
        <w:spacing w:after="0" w:line="3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125</w:t>
            </w:r>
          </w:p>
        </w:tc>
      </w:tr>
    </w:tbl>
    <w:p>
      <w:pPr>
        <w:sectPr>
          <w:pgSz w:w="11900" w:h="16838" w:orient="portrait"/>
          <w:cols w:equalWidth="0" w:num="1">
            <w:col w:w="11240"/>
          </w:cols>
          <w:pgMar w:left="320" w:top="166" w:right="339" w:bottom="1440" w:gutter="0" w:footer="0" w:header="0"/>
        </w:sectPr>
      </w:pPr>
    </w:p>
    <w:bookmarkStart w:id="133" w:name="page134"/>
    <w:bookmarkEnd w:id="13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efforts or increase our cost of goods. The occurrence of any of the foregoing could have an adverse effect on our business, financial condition, results of operations and growth prospects.</w:t>
      </w:r>
    </w:p>
    <w:p>
      <w:pPr>
        <w:spacing w:after="0" w:line="217"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Reliance on Third Parties</w:t>
      </w:r>
    </w:p>
    <w:p>
      <w:pPr>
        <w:spacing w:after="0" w:line="1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126</w:t>
            </w:r>
          </w:p>
        </w:tc>
      </w:tr>
    </w:tbl>
    <w:p>
      <w:pPr>
        <w:sectPr>
          <w:pgSz w:w="11900" w:h="16838" w:orient="portrait"/>
          <w:cols w:equalWidth="0" w:num="1">
            <w:col w:w="11240"/>
          </w:cols>
          <w:pgMar w:left="320" w:top="166" w:right="339" w:bottom="1440" w:gutter="0" w:footer="0" w:header="0"/>
        </w:sectPr>
      </w:pPr>
    </w:p>
    <w:bookmarkStart w:id="134" w:name="page135"/>
    <w:bookmarkEnd w:id="13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3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200" w:lineRule="exact"/>
        <w:rPr>
          <w:sz w:val="20"/>
          <w:szCs w:val="20"/>
          <w:color w:val="auto"/>
        </w:rPr>
      </w:pPr>
    </w:p>
    <w:p>
      <w:pPr>
        <w:spacing w:after="0" w:line="31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staffing difficulties;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 to comply with contractual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127</w:t>
            </w:r>
          </w:p>
        </w:tc>
      </w:tr>
    </w:tbl>
    <w:p>
      <w:pPr>
        <w:sectPr>
          <w:pgSz w:w="11900" w:h="16838" w:orient="portrait"/>
          <w:cols w:equalWidth="0" w:num="1">
            <w:col w:w="11240"/>
          </w:cols>
          <w:pgMar w:left="320" w:top="166" w:right="339" w:bottom="1440" w:gutter="0" w:footer="0" w:header="0"/>
        </w:sectPr>
      </w:pPr>
    </w:p>
    <w:bookmarkStart w:id="135" w:name="page136"/>
    <w:bookmarkEnd w:id="13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regulatory compliance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undergo changes in priorities or become financially distressed;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form relationships with other entities, some of which may be our competitors;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human errors;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 subject to cyberattacks.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perform or prioritize their obligations as expected;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trials conducted as part of such collaborations may not be successful;</w:t>
      </w:r>
    </w:p>
    <w:p>
      <w:pPr>
        <w:spacing w:after="0" w:line="333"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pursue development and commercialization of any product candidates and products that achieve regulatory approval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may elect not to continue or renew development or commercialization of programs based on clinical trial results, changes in the collaborators’ focus or available funding (for example, we are aware that there have been allegations that Fosun</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128</w:t>
            </w:r>
          </w:p>
        </w:tc>
      </w:tr>
    </w:tbl>
    <w:p>
      <w:pPr>
        <w:sectPr>
          <w:pgSz w:w="11900" w:h="16838" w:orient="portrait"/>
          <w:cols w:equalWidth="0" w:num="1">
            <w:col w:w="11240"/>
          </w:cols>
          <w:pgMar w:left="320" w:top="166" w:right="339" w:bottom="1440" w:gutter="0" w:footer="0" w:header="0"/>
        </w:sectPr>
      </w:pPr>
    </w:p>
    <w:bookmarkStart w:id="136" w:name="page137"/>
    <w:bookmarkEnd w:id="1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International Ltd., an affiliate of our collaboration partner Fosun Pharma, is facing liquidity risks), or external factors, such as an acquisition, that divert resources or create competing priorities;</w:t>
      </w:r>
    </w:p>
    <w:p>
      <w:pPr>
        <w:spacing w:after="0" w:line="217"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delay clinical trials, provide insufficient funding for clinical trials, stop a clinical trial, abandon a product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repeat or conduct new clinical trials, or require a new formulation of a product candidate for clinical testing;</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could independently develop, or develop with third parties, products that compete directly or indirectly with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if the collaborators believe that competitive products are more likely to be successfully developed or can be commercialized under terms that are more economically attractive than ours;</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developed in collaborations with us may be viewed by our collaborators as competitive with their own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products, which may cause collaborators to cease to devote resources to the development or commercialization of our product candidates;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collaborator with marketing and distribution rights to one or more of our product candidates that achieve regulatory approval may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commit sufficient resources to the marketing and distribution of any such product;</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disagreements with collaborators, including disagreements over proprietary rights, contract interpretation or the preferred course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23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properly maintain, protect, defend or enforce our intellectual property rights or may use our proprietary information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such a way as to invite litigation that could jeopardize or invalidate our intellectual property or proprietary information or expose us to potential litigation;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disputes may arise with respect to the ownership of intellectual property developed pursuant to our collaborations;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infringe, misappropriate or otherwise violate the intellectual property rights of third parties, which may expose us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litigation and potential liability;</w:t>
      </w:r>
    </w:p>
    <w:p>
      <w:pPr>
        <w:spacing w:after="0" w:line="216"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collaborations may be terminated for the convenience of the collaborator and, if terminated, the development of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future relationships may require us to incur non-recurring and other charges, increase our near- and long-term expenditures, issue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securities that dilute our existing shareholders, or disrupt our management and business;</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face significant competition in seeking appropriate collaborators, and the negotiation process is time-consuming and complex;</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129</w:t>
            </w:r>
          </w:p>
        </w:tc>
      </w:tr>
    </w:tbl>
    <w:p>
      <w:pPr>
        <w:sectPr>
          <w:pgSz w:w="11900" w:h="16838" w:orient="portrait"/>
          <w:cols w:equalWidth="0" w:num="1">
            <w:col w:w="11240"/>
          </w:cols>
          <w:pgMar w:left="320" w:top="166" w:right="339" w:bottom="1440" w:gutter="0" w:footer="0" w:header="0"/>
        </w:sectPr>
      </w:pPr>
    </w:p>
    <w:bookmarkStart w:id="137" w:name="page138"/>
    <w:bookmarkEnd w:id="1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international operations through any future collaborations, acquisitions or joint ventures may expose us to certain operating, legal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risks not encountered in Germany or the United States.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able to establish collaborations on commercially reasonable terms, we may have to alter our research, development and commercialization plans.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200" w:lineRule="exact"/>
        <w:rPr>
          <w:sz w:val="20"/>
          <w:szCs w:val="20"/>
          <w:color w:val="auto"/>
        </w:rPr>
      </w:pPr>
    </w:p>
    <w:p>
      <w:pPr>
        <w:spacing w:after="0" w:line="3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130</w:t>
            </w:r>
          </w:p>
        </w:tc>
      </w:tr>
    </w:tbl>
    <w:p>
      <w:pPr>
        <w:sectPr>
          <w:pgSz w:w="11900" w:h="16838" w:orient="portrait"/>
          <w:cols w:equalWidth="0" w:num="1">
            <w:col w:w="11240"/>
          </w:cols>
          <w:pgMar w:left="320" w:top="166" w:right="339" w:bottom="1440" w:gutter="0" w:footer="0" w:header="0"/>
        </w:sectPr>
      </w:pPr>
    </w:p>
    <w:bookmarkStart w:id="138" w:name="page139"/>
    <w:bookmarkEnd w:id="1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200" w:lineRule="exact"/>
        <w:rPr>
          <w:sz w:val="20"/>
          <w:szCs w:val="20"/>
          <w:color w:val="auto"/>
        </w:rPr>
      </w:pPr>
    </w:p>
    <w:p>
      <w:pPr>
        <w:spacing w:after="0" w:line="29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Disputes may also arise between us and our licensors regarding intellectual property subject to a license agreement, including: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scope of rights granted under the license agreement and other interpretation-related issues;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whether and the extent to which our technology and processes infringe, misappropriate or otherwise violate the intellectual property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licensor that is not subject to the licensing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right to sublicense patent and other intellectual property rights to third parties under collaborative relationships;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131</w:t>
            </w:r>
          </w:p>
        </w:tc>
      </w:tr>
    </w:tbl>
    <w:p>
      <w:pPr>
        <w:sectPr>
          <w:pgSz w:w="11900" w:h="16838" w:orient="portrait"/>
          <w:cols w:equalWidth="0" w:num="1">
            <w:col w:w="11240"/>
          </w:cols>
          <w:pgMar w:left="320" w:top="166" w:right="339" w:bottom="1440" w:gutter="0" w:footer="0" w:header="0"/>
        </w:sectPr>
      </w:pPr>
    </w:p>
    <w:bookmarkStart w:id="139" w:name="page140"/>
    <w:bookmarkEnd w:id="1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diligence obligations with respect to the use of the licensed intellectual property and technology in relation to our development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our product candidates, and what activities satisfy those diligence obligations;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ownership of inventions, trade secrets, know-how and other intellectual property resulting from the joint creation or use of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by our licensors and us and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priority of invention of patented technology;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amounts to be paid pursuant to certain program milestones being achieved or to royalty obligations, including the triggering of royalty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obligations and amounts to be paid pursuant thereto.</w:t>
      </w:r>
    </w:p>
    <w:p>
      <w:pPr>
        <w:spacing w:after="0" w:line="21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200" w:lineRule="exact"/>
        <w:rPr>
          <w:sz w:val="20"/>
          <w:szCs w:val="20"/>
          <w:color w:val="auto"/>
        </w:rPr>
      </w:pPr>
    </w:p>
    <w:p>
      <w:pPr>
        <w:spacing w:after="0" w:line="26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 may be unable to create an inventory of mass-produced, off-the-shelf product to satisfy demands for our product candidates, if approved.</w:t>
      </w:r>
    </w:p>
    <w:p>
      <w:pPr>
        <w:spacing w:after="0" w:line="23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addition, our reliance on a limited number of CMOs exposes us to the following risks:</w:t>
      </w:r>
    </w:p>
    <w:p>
      <w:pPr>
        <w:spacing w:after="0" w:line="333"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identify manufacturers on acceptable terms or at all because the number of potential manufacturers is limited and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23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might be unable to timely formulate and manufacture our product or produce the quantity and quality required to meet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and commercial needs, if any;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132</w:t>
            </w:r>
          </w:p>
        </w:tc>
      </w:tr>
    </w:tbl>
    <w:p>
      <w:pPr>
        <w:sectPr>
          <w:pgSz w:w="11900" w:h="16838" w:orient="portrait"/>
          <w:cols w:equalWidth="0" w:num="1">
            <w:col w:w="11240"/>
          </w:cols>
          <w:pgMar w:left="320" w:top="166" w:right="339" w:bottom="1440" w:gutter="0" w:footer="0" w:header="0"/>
        </w:sectPr>
      </w:pPr>
    </w:p>
    <w:bookmarkStart w:id="140" w:name="page141"/>
    <w:bookmarkEnd w:id="1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CMOs may not be able to execute our manufacturing procedures appropriately;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future CMOs may not perform as agreed or may not remain in the contract manufacturing business for the time required to supply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or to successfully produce, store and distribute our products;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manufacturers are subject to ongoing periodic unannounced inspection by the FDA, the U.S. Drug Enforcement Administration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own, or may have to share, the intellectual property rights to any improvements made in the manufacturing process for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could breach or terminate their agreement with us;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would also be subject to the same risks we face in developing our own manufacturing capabilities, as described above.</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certain of our collaborators currently rely on CMOs located outside of the United States to manufacture clinical materials. Such ex-U.S. CMOs may be subject to or affected by U.S. legislation, executive orders, regulations, or investigations, including but not limited to the proposed BIOSECURE Act, the Department of Justice’s Final Rule issued on December 27, 2024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133</w:t>
            </w:r>
          </w:p>
        </w:tc>
      </w:tr>
    </w:tbl>
    <w:p>
      <w:pPr>
        <w:sectPr>
          <w:pgSz w:w="11900" w:h="16838" w:orient="portrait"/>
          <w:cols w:equalWidth="0" w:num="1">
            <w:col w:w="11240"/>
          </w:cols>
          <w:pgMar w:left="320" w:top="166" w:right="339" w:bottom="1440" w:gutter="0" w:footer="0" w:header="0"/>
        </w:sectPr>
      </w:pPr>
    </w:p>
    <w:bookmarkStart w:id="141" w:name="page142"/>
    <w:bookmarkEnd w:id="1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200" w:lineRule="exact"/>
        <w:rPr>
          <w:sz w:val="20"/>
          <w:szCs w:val="20"/>
          <w:color w:val="auto"/>
        </w:rPr>
      </w:pPr>
    </w:p>
    <w:p>
      <w:pPr>
        <w:spacing w:after="0" w:line="30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In addition, as part of the FDA’s approval of our product candidates, we will also require FDA review of the individual components of our process, which include the manufacturing processes and facilities of our single source suppliers.</w:t>
      </w:r>
    </w:p>
    <w:p>
      <w:pPr>
        <w:spacing w:after="0" w:line="217"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reliance on these suppliers, service providers and manufacturers subjects us to a number of risks that could harm our reputation, business and financial condition, including, among other things: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to the development timelines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interruption of supply resulting from modifications to or discontinuation of a supplier’s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in product shipments resulting from uncorrected defects, reliability issues, or a supplier’s variation in a component;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lack of long-term supply arrangements for key components with our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inability to obtain adequate supply in a timely manner, or to obtain adequate supply on commercially reasonable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difficulty and cost associated with locating and qualifying alternative suppliers for our components in a timely manner;</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delays related to the evaluation and testing of components from alternative suppliers, and corresponding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qualifications;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 in delivery due to our suppliers’ prioritizing other customer orders over ours;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134</w:t>
            </w:r>
          </w:p>
        </w:tc>
      </w:tr>
    </w:tbl>
    <w:p>
      <w:pPr>
        <w:sectPr>
          <w:pgSz w:w="11900" w:h="16838" w:orient="portrait"/>
          <w:cols w:equalWidth="0" w:num="1">
            <w:col w:w="11240"/>
          </w:cols>
          <w:pgMar w:left="320" w:top="166" w:right="339" w:bottom="1440" w:gutter="0" w:footer="0" w:header="0"/>
        </w:sectPr>
      </w:pPr>
    </w:p>
    <w:bookmarkStart w:id="142" w:name="page143"/>
    <w:bookmarkEnd w:id="1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damage to our reputation caused by defective components produced by our suppliers;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fluctuation in delivery by our suppliers due to changes in demand from us or their other customers.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any of these risks materialize, costs could significantly increase and our ability to meet demand for our products could be impacted.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Intellectual Property</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135</w:t>
            </w:r>
          </w:p>
        </w:tc>
      </w:tr>
    </w:tbl>
    <w:p>
      <w:pPr>
        <w:sectPr>
          <w:pgSz w:w="11900" w:h="16838" w:orient="portrait"/>
          <w:cols w:equalWidth="0" w:num="1">
            <w:col w:w="11240"/>
          </w:cols>
          <w:pgMar w:left="320" w:top="166" w:right="339" w:bottom="1440" w:gutter="0" w:footer="0" w:header="0"/>
        </w:sectPr>
      </w:pPr>
    </w:p>
    <w:bookmarkStart w:id="143" w:name="page144"/>
    <w:bookmarkEnd w:id="1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23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USPTO and various other governmental patent agencies require compliance with a number of procedural, documentary, fee payment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 applications may not result in any patents being issued;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(solely or jointly) or have in-licensed may be challenged, invalidated, modified, revoked,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circumvented, found to be unenforceable or otherwise may not provide any competitive advantage;</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parties may have designed around our patent claims or developed technologies that may be related or competitive to our COVID-19</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or to our product candidates or other technologies, may have filed or may file patent applications and may have received or may receive patents that overlap or conflict with our patent filings, either by claiming the same or overlapping methods, products, reagents, tools or devices or by claiming subject matter that could dominate one or more of our patent claims;</w:t>
      </w:r>
    </w:p>
    <w:p>
      <w:pPr>
        <w:spacing w:after="0" w:line="2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successful opposition to claims of any patents owned by or in-licensed to us could deprive us of rights necessary for the development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exploitation of our COVID-19 vaccine or our product candidates and other technologies, or the successful commercialization of any product candidates and other technologies that we may develop;</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because patent applications in the United States and most other jurisdictions are confidential for a period of time after filing, we cannot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certain that we, our co-owners or our licensors were the first to file any patent application related to our product candidates, proprietary technologies and their uses;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patent office proceeding, such as a derivative action or interference, can be provoked or instituted by a third party or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office, and might determine that one or more of the inventions described in our patent filings, or in those we licensed, was first invented by someone else, so that we may lose rights to such invention(s);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other patent proceeding, such as an inter partes review, post grant review or opposition, can be instituted by a third party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 the inventorship, scope, validity and/or enforceability of our patent claims and might result in invalidation or revision of one or more of our patent claims, or in a determination that such claims are unenforceable;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136</w:t>
            </w:r>
          </w:p>
        </w:tc>
      </w:tr>
    </w:tbl>
    <w:p>
      <w:pPr>
        <w:sectPr>
          <w:pgSz w:w="11900" w:h="16838" w:orient="portrait"/>
          <w:cols w:equalWidth="0" w:num="1">
            <w:col w:w="11240"/>
          </w:cols>
          <w:pgMar w:left="320" w:top="166" w:right="339" w:bottom="1440" w:gutter="0" w:footer="0" w:header="0"/>
        </w:sectPr>
      </w:pPr>
    </w:p>
    <w:bookmarkStart w:id="144" w:name="page145"/>
    <w:bookmarkEnd w:id="1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there may be significant pressure on the U.S. government and international governmental bodies to limit the scope of patent protection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240"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countries other than the United States may have patent laws less favorable to patentees than those upheld by U.S. courts, allowing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a better opportunity to create, develop and market competing product candidates.</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 adequate rules and procedures for granting, maintaining, protecting, defending and enforcing our intellectual property rights.</w:t>
      </w:r>
    </w:p>
    <w:p>
      <w:pPr>
        <w:spacing w:after="0" w:line="200" w:lineRule="exact"/>
        <w:rPr>
          <w:sz w:val="20"/>
          <w:szCs w:val="20"/>
          <w:color w:val="auto"/>
        </w:rPr>
      </w:pPr>
    </w:p>
    <w:p>
      <w:pPr>
        <w:spacing w:after="0" w:line="30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137</w:t>
            </w:r>
          </w:p>
        </w:tc>
      </w:tr>
    </w:tbl>
    <w:p>
      <w:pPr>
        <w:sectPr>
          <w:pgSz w:w="11900" w:h="16838" w:orient="portrait"/>
          <w:cols w:equalWidth="0" w:num="1">
            <w:col w:w="11240"/>
          </w:cols>
          <w:pgMar w:left="320" w:top="166" w:right="339" w:bottom="1440" w:gutter="0" w:footer="0" w:header="0"/>
        </w:sectPr>
      </w:pPr>
    </w:p>
    <w:bookmarkStart w:id="145" w:name="page146"/>
    <w:bookmarkEnd w:id="1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138</w:t>
            </w:r>
          </w:p>
        </w:tc>
      </w:tr>
    </w:tbl>
    <w:p>
      <w:pPr>
        <w:sectPr>
          <w:pgSz w:w="11900" w:h="16838" w:orient="portrait"/>
          <w:cols w:equalWidth="0" w:num="1">
            <w:col w:w="11240"/>
          </w:cols>
          <w:pgMar w:left="320" w:top="166" w:right="339" w:bottom="1440" w:gutter="0" w:footer="0" w:header="0"/>
        </w:sectPr>
      </w:pPr>
    </w:p>
    <w:bookmarkStart w:id="146" w:name="page147"/>
    <w:bookmarkEnd w:id="1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degree of future protection for our intellectual property and other proprietary rights is uncertain, and we cannot ensure that:</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patents, or any of our pending patent applications, if issued, or those of our licensors, will include claims having a scope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to protect our product(s), our product candidates and other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pending patent applications or those of our licensors may issue as patents;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or may not be able to make, use, offer to sell or sell products that are the same as or similar to our own but that are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covered by the claims of the patents that we own or license;</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be able to successfully commercialize our products on a substantial scale, if approved, before the relevant patents that we own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license expire;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were the first to make the inventions covered by each of the patents and pending patent applications that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were the first to file patent applications for these inventions;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develop similar or alternative products or technologies that do not infringe the patents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the claims of patents we own or license will be found to ultimately be valid and enforceable;</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patents issued to us or our licensors will provide a basis for an exclusive market for our commercially viable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technologies or will provide us with any competitive advantages;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third party may not challenge the claims of patents we own or license and, if challenged, a court would hold that such patent claims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valid, enforceable and infringed;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develop or in-license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will not have an adverse effect on our ability to issue patents, or otherwise on our business;</w:t>
      </w:r>
    </w:p>
    <w:p>
      <w:pPr>
        <w:spacing w:after="0" w:line="333"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do not conduct research, development, testing or commercialization activities in countries where we do not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enforceable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develop additional proprietary technologies, product(s) or product candidates that are separately patentable; and</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or our collaborators’, development and commercialization activities, including our manufacturing processes, or products will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infringe patents of our competitors or any other third parties, including any non-practicing entities or patent assertion entities.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139</w:t>
            </w:r>
          </w:p>
        </w:tc>
      </w:tr>
    </w:tbl>
    <w:p>
      <w:pPr>
        <w:sectPr>
          <w:pgSz w:w="11900" w:h="16838" w:orient="portrait"/>
          <w:cols w:equalWidth="0" w:num="1">
            <w:col w:w="11220"/>
          </w:cols>
          <w:pgMar w:left="320" w:top="166" w:right="359" w:bottom="1440" w:gutter="0" w:footer="0" w:header="0"/>
        </w:sectPr>
      </w:pPr>
    </w:p>
    <w:bookmarkStart w:id="147" w:name="page148"/>
    <w:bookmarkEnd w:id="1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Additionally, we face ongoing COVID-19 vaccine-related patent litigation. CureVac SE, or CureVac, has brought litigation against us in Germany regarding three European patents, 1857122B1, or EP’122, 3708668B1, or EP’668, and 4023755B1, or EP’755, and three German utility models, DE202015009961, DE202015009974, and DE202021004130, or the CureVac IP. BioNTech filed a nullity action in the Federal Patent Court of Germany seeking a declaration that EP’122 is invalid, initiated cancellation actions against the CureVac IP in the German Patent and Trademark Office, and filed opposition proceedings in the European Patent Office, or EPO, seeking the revocation of EP’668</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140</w:t>
            </w:r>
          </w:p>
        </w:tc>
      </w:tr>
    </w:tbl>
    <w:p>
      <w:pPr>
        <w:sectPr>
          <w:pgSz w:w="11900" w:h="16838" w:orient="portrait"/>
          <w:cols w:equalWidth="0" w:num="1">
            <w:col w:w="11240"/>
          </w:cols>
          <w:pgMar w:left="320" w:top="166" w:right="339" w:bottom="1440" w:gutter="0" w:footer="0" w:header="0"/>
        </w:sectPr>
      </w:pPr>
    </w:p>
    <w:bookmarkStart w:id="148" w:name="page149"/>
    <w:bookmarkEnd w:id="1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and EP’755. ModernaTX, Inc., or Moderna, has brought litigation against us and Pfizer regarding European patents 3590949B1, or EP’949, and 3718565B1, or EP’565, in Germany, England and Wales (only EP’949 currently at issue), the Netherlands, Ireland, and Belgium, and regarding U.S. Patent Nos. 10,898,574, 10,702,600, and 10,933,127 in the United States. BioNTech and Pfizer also initiated proceedings seeking the revocation of EP’949 in the Business and Property Courts of England and Wales and have filed opposition proceedings in the EPO seeking the revocation of EP’949 and EP’565, BioNTech and Pfizer have filed petitions for inter partes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LLC, or Promosome, has initiated litigation against us and Pfizer in the Unified Patent Court (Munich Division) regarding one European patent, EP 2 401 365. GlaxoSmithKline Biologicals SA and GlaxoSmithKline LLC, or collectively, GSK, have brought litigation against us and Pfizer in the United States regarding U.S. Patent Nos. 11,638,693, 11,638,694, 11,666,534, 11,766,401, 11,786,467, 11,759,422, 11,655,475, and 11,851,660, and in the High Court of Ireland, as well as the United Patent Court, regarding European Patent Nos. 2,590,626, 4,066,856, and 4,226,941. BioNTech and Pfizer also initiated proceedings seeking the revocation of EP’626, EP’856, and EP’941 in the Business and Property Courts of England and Wales and have filed opposition proceedings in the EPO seeking the revocation of EP’856 and EP’941.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 Additionally, as we continually evaluate these various proceedings, we may from time to time make strategic decisions to settle or otherwise resolve certain proceedings despite our continued belief in the strengths of our defenses.</w:t>
      </w:r>
    </w:p>
    <w:p>
      <w:pPr>
        <w:spacing w:after="0" w:line="200" w:lineRule="exact"/>
        <w:rPr>
          <w:sz w:val="20"/>
          <w:szCs w:val="20"/>
          <w:color w:val="auto"/>
        </w:rPr>
      </w:pPr>
    </w:p>
    <w:p>
      <w:pPr>
        <w:spacing w:after="0" w:line="298"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080509"/>
        </w:rPr>
        <w:t>We expect that we will continue to be subject to similar proceedings or priority disputes, including oppositions, in Europe or other jurisdictions relating to patents and patent applications in our portfolio.</w:t>
      </w:r>
    </w:p>
    <w:p>
      <w:pPr>
        <w:jc w:val="both"/>
        <w:spacing w:after="0" w:line="316" w:lineRule="auto"/>
        <w:rPr>
          <w:sz w:val="20"/>
          <w:szCs w:val="20"/>
          <w:color w:val="auto"/>
        </w:rPr>
      </w:pPr>
      <w:r>
        <w:rPr>
          <w:rFonts w:ascii="Times New Roman" w:cs="Times New Roman" w:eastAsia="Times New Roman" w:hAnsi="Times New Roman"/>
          <w:sz w:val="18"/>
          <w:szCs w:val="18"/>
          <w:color w:val="080509"/>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141</w:t>
            </w:r>
          </w:p>
        </w:tc>
      </w:tr>
    </w:tbl>
    <w:p>
      <w:pPr>
        <w:sectPr>
          <w:pgSz w:w="11900" w:h="16838" w:orient="portrait"/>
          <w:cols w:equalWidth="0" w:num="1">
            <w:col w:w="11240"/>
          </w:cols>
          <w:pgMar w:left="320" w:top="166" w:right="339" w:bottom="1440" w:gutter="0" w:footer="0" w:header="0"/>
        </w:sectPr>
      </w:pPr>
    </w:p>
    <w:bookmarkStart w:id="149" w:name="page150"/>
    <w:bookmarkEnd w:id="1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142</w:t>
            </w:r>
          </w:p>
        </w:tc>
      </w:tr>
    </w:tbl>
    <w:p>
      <w:pPr>
        <w:sectPr>
          <w:pgSz w:w="11900" w:h="16838" w:orient="portrait"/>
          <w:cols w:equalWidth="0" w:num="1">
            <w:col w:w="11240"/>
          </w:cols>
          <w:pgMar w:left="320" w:top="166" w:right="339" w:bottom="1440" w:gutter="0" w:footer="0" w:header="0"/>
        </w:sectPr>
      </w:pPr>
    </w:p>
    <w:bookmarkStart w:id="150" w:name="page151"/>
    <w:bookmarkEnd w:id="1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lifespans of our patents may not be sufficient to effectively protect our products or product candidates, technologies and business.</w:t>
      </w:r>
    </w:p>
    <w:p>
      <w:pPr>
        <w:spacing w:after="0" w:line="21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143</w:t>
            </w:r>
          </w:p>
        </w:tc>
      </w:tr>
    </w:tbl>
    <w:p>
      <w:pPr>
        <w:sectPr>
          <w:pgSz w:w="11900" w:h="16838" w:orient="portrait"/>
          <w:cols w:equalWidth="0" w:num="1">
            <w:col w:w="11240"/>
          </w:cols>
          <w:pgMar w:left="320" w:top="166" w:right="339" w:bottom="1440" w:gutter="0" w:footer="0" w:header="0"/>
        </w:sectPr>
      </w:pPr>
    </w:p>
    <w:bookmarkStart w:id="151" w:name="page152"/>
    <w:bookmarkEnd w:id="1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do not obtain patent term extension and data exclusivity for any product candidates we may develop, our business may be materially harmed.</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18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144</w:t>
            </w:r>
          </w:p>
        </w:tc>
      </w:tr>
    </w:tbl>
    <w:p>
      <w:pPr>
        <w:sectPr>
          <w:pgSz w:w="11900" w:h="16838" w:orient="portrait"/>
          <w:cols w:equalWidth="0" w:num="1">
            <w:col w:w="11240"/>
          </w:cols>
          <w:pgMar w:left="320" w:top="166" w:right="339" w:bottom="1440" w:gutter="0" w:footer="0" w:header="0"/>
        </w:sectPr>
      </w:pPr>
    </w:p>
    <w:bookmarkStart w:id="152" w:name="page153"/>
    <w:bookmarkEnd w:id="1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12"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Moreover, we may disagree from time to time with licensors or collaborators regarding, among other things, the interpretation of each party’s obligations or the amounts payable under our agreements. For example, we were in discussions with the University of Pennsylvania, or UPenn, and the National Institutes of Health, or the NIH, concerning royalties and other related amounts allegedly owed on sales of our COVID-19 vaccine since commercialization. UPenn subsequently filed suit against us in the U.S. District Court for the Eastern District of Pennsylvania in connection with this dispute. On December 20, 2024, we entered into a Settlement Agreement with the NIH pursuant to which we agreed, among other things, to pay $791.5 million to the NIH. On March 27, 2025, we entered into a Settlement Agreement with UPenn pursuant to which we agreed, among other things, to pay up to $467.0 million to UPenn, consisting of $400.0 million as royalties for calendar years 2020-2023, up to $15.0 million in funding for a three-year extension of the research term of our and UPenn’s vaccine alliance, and $52.0 million as a contribution to a research and development investment fund to be jointly managed by us and UPenn.</w:t>
      </w:r>
    </w:p>
    <w:p>
      <w:pPr>
        <w:spacing w:after="0" w:line="23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or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145</w:t>
            </w:r>
          </w:p>
        </w:tc>
      </w:tr>
    </w:tbl>
    <w:p>
      <w:pPr>
        <w:sectPr>
          <w:pgSz w:w="11900" w:h="16838" w:orient="portrait"/>
          <w:cols w:equalWidth="0" w:num="1">
            <w:col w:w="11240"/>
          </w:cols>
          <w:pgMar w:left="320" w:top="167" w:right="339" w:bottom="1440" w:gutter="0" w:footer="0" w:header="0"/>
        </w:sectPr>
      </w:pPr>
    </w:p>
    <w:bookmarkStart w:id="153" w:name="page154"/>
    <w:bookmarkEnd w:id="1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 which could have a material adverse effect on our business, financial condition, results of operations and prospects.</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17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146</w:t>
            </w:r>
          </w:p>
        </w:tc>
      </w:tr>
    </w:tbl>
    <w:p>
      <w:pPr>
        <w:sectPr>
          <w:pgSz w:w="11900" w:h="16838" w:orient="portrait"/>
          <w:cols w:equalWidth="0" w:num="1">
            <w:col w:w="11240"/>
          </w:cols>
          <w:pgMar w:left="320" w:top="167" w:right="339" w:bottom="1440" w:gutter="0" w:footer="0" w:header="0"/>
        </w:sectPr>
      </w:pPr>
    </w:p>
    <w:bookmarkStart w:id="154" w:name="page155"/>
    <w:bookmarkEnd w:id="1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17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Composition of matter patent protection is generally considered to be desirable because it provides protection without regard to any particular method of use or manufacture or formulation. While we 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390"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147</w:t>
            </w:r>
          </w:p>
        </w:tc>
      </w:tr>
    </w:tbl>
    <w:p>
      <w:pPr>
        <w:sectPr>
          <w:pgSz w:w="11900" w:h="16838" w:orient="portrait"/>
          <w:cols w:equalWidth="0" w:num="1">
            <w:col w:w="11240"/>
          </w:cols>
          <w:pgMar w:left="320" w:top="167" w:right="339" w:bottom="1440" w:gutter="0" w:footer="0" w:header="0"/>
        </w:sectPr>
      </w:pPr>
    </w:p>
    <w:bookmarkStart w:id="155" w:name="page156"/>
    <w:bookmarkEnd w:id="1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 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200" w:lineRule="exact"/>
        <w:rPr>
          <w:sz w:val="20"/>
          <w:szCs w:val="20"/>
          <w:color w:val="auto"/>
        </w:rPr>
      </w:pPr>
    </w:p>
    <w:p>
      <w:pPr>
        <w:spacing w:after="0" w:line="30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148</w:t>
            </w:r>
          </w:p>
        </w:tc>
      </w:tr>
    </w:tbl>
    <w:p>
      <w:pPr>
        <w:sectPr>
          <w:pgSz w:w="11900" w:h="16838" w:orient="portrait"/>
          <w:cols w:equalWidth="0" w:num="1">
            <w:col w:w="11240"/>
          </w:cols>
          <w:pgMar w:left="320" w:top="167" w:right="339" w:bottom="1440" w:gutter="0" w:footer="0" w:header="0"/>
        </w:sectPr>
      </w:pPr>
    </w:p>
    <w:bookmarkStart w:id="156" w:name="page157"/>
    <w:bookmarkEnd w:id="1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17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 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200" w:lineRule="exact"/>
        <w:rPr>
          <w:sz w:val="20"/>
          <w:szCs w:val="20"/>
          <w:color w:val="auto"/>
        </w:rPr>
      </w:pPr>
    </w:p>
    <w:p>
      <w:pPr>
        <w:spacing w:after="0" w:line="3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200" w:lineRule="exact"/>
        <w:rPr>
          <w:sz w:val="20"/>
          <w:szCs w:val="20"/>
          <w:color w:val="auto"/>
        </w:rPr>
      </w:pPr>
    </w:p>
    <w:p>
      <w:pPr>
        <w:spacing w:after="0" w:line="318"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Third parties, including our competitors to non-practicing entities or patent assertion entities, may assert that we are employing their intellectual property and other proprietary technology without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149</w:t>
            </w:r>
          </w:p>
        </w:tc>
      </w:tr>
    </w:tbl>
    <w:p>
      <w:pPr>
        <w:sectPr>
          <w:pgSz w:w="11900" w:h="16838" w:orient="portrait"/>
          <w:cols w:equalWidth="0" w:num="1">
            <w:col w:w="11240"/>
          </w:cols>
          <w:pgMar w:left="320" w:top="167" w:right="339" w:bottom="1440" w:gutter="0" w:footer="0" w:header="0"/>
        </w:sectPr>
      </w:pPr>
    </w:p>
    <w:bookmarkStart w:id="157" w:name="page158"/>
    <w:bookmarkEnd w:id="1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Moderna, Arbutus, Genevant, GSK, and Promosome regarding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200" w:lineRule="exact"/>
        <w:rPr>
          <w:sz w:val="20"/>
          <w:szCs w:val="20"/>
          <w:color w:val="auto"/>
        </w:rPr>
      </w:pPr>
    </w:p>
    <w:p>
      <w:pPr>
        <w:spacing w:after="0" w:line="31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150</w:t>
            </w:r>
          </w:p>
        </w:tc>
      </w:tr>
    </w:tbl>
    <w:p>
      <w:pPr>
        <w:sectPr>
          <w:pgSz w:w="11900" w:h="16838" w:orient="portrait"/>
          <w:cols w:equalWidth="0" w:num="1">
            <w:col w:w="11240"/>
          </w:cols>
          <w:pgMar w:left="320" w:top="167" w:right="339" w:bottom="1440" w:gutter="0" w:footer="0" w:header="0"/>
        </w:sectPr>
      </w:pPr>
    </w:p>
    <w:bookmarkStart w:id="158" w:name="page159"/>
    <w:bookmarkEnd w:id="1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151</w:t>
            </w:r>
          </w:p>
        </w:tc>
      </w:tr>
    </w:tbl>
    <w:p>
      <w:pPr>
        <w:sectPr>
          <w:pgSz w:w="11900" w:h="16838" w:orient="portrait"/>
          <w:cols w:equalWidth="0" w:num="1">
            <w:col w:w="11240"/>
          </w:cols>
          <w:pgMar w:left="320" w:top="167" w:right="339" w:bottom="1440" w:gutter="0" w:footer="0" w:header="0"/>
        </w:sectPr>
      </w:pPr>
    </w:p>
    <w:bookmarkStart w:id="159" w:name="page160"/>
    <w:bookmarkEnd w:id="1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an event, our competitors might be able to enter the market with similar or identical products or technology, and this would have a material adverse impact on our business, financial condition, results of operations and prospects.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Changes in patent law in the United States or in other countries could diminish the value of patents in general, thereby impairing our ability to protect our products.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protect the confidentiality of our trade secrets, our business and competitive position would be harmed.</w:t>
      </w:r>
    </w:p>
    <w:p>
      <w:pPr>
        <w:spacing w:after="0" w:line="21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152</w:t>
            </w:r>
          </w:p>
        </w:tc>
      </w:tr>
    </w:tbl>
    <w:p>
      <w:pPr>
        <w:sectPr>
          <w:pgSz w:w="11900" w:h="16838" w:orient="portrait"/>
          <w:cols w:equalWidth="0" w:num="1">
            <w:col w:w="11240"/>
          </w:cols>
          <w:pgMar w:left="320" w:top="167" w:right="339" w:bottom="1440" w:gutter="0" w:footer="0" w:header="0"/>
        </w:sectPr>
      </w:pPr>
    </w:p>
    <w:bookmarkStart w:id="160" w:name="page161"/>
    <w:bookmarkEnd w:id="1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38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153</w:t>
            </w:r>
          </w:p>
        </w:tc>
      </w:tr>
    </w:tbl>
    <w:p>
      <w:pPr>
        <w:sectPr>
          <w:pgSz w:w="11900" w:h="16838" w:orient="portrait"/>
          <w:cols w:equalWidth="0" w:num="1">
            <w:col w:w="11240"/>
          </w:cols>
          <w:pgMar w:left="320" w:top="167" w:right="339" w:bottom="1440" w:gutter="0" w:footer="0" w:header="0"/>
        </w:sectPr>
      </w:pPr>
    </w:p>
    <w:bookmarkStart w:id="161" w:name="page162"/>
    <w:bookmarkEnd w:id="1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parties could have a material adverse effect on our business, financial condition, results of operations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to claims challenging the inventorship or ownership of our patents and other intellectual property.</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 result in our failing to secure or maintain ownership in or control of intellectual property necessary or important to our business.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154</w:t>
            </w:r>
          </w:p>
        </w:tc>
      </w:tr>
    </w:tbl>
    <w:p>
      <w:pPr>
        <w:sectPr>
          <w:pgSz w:w="11900" w:h="16838" w:orient="portrait"/>
          <w:cols w:equalWidth="0" w:num="1">
            <w:col w:w="11240"/>
          </w:cols>
          <w:pgMar w:left="320" w:top="167" w:right="339" w:bottom="1440" w:gutter="0" w:footer="0" w:header="0"/>
        </w:sectPr>
      </w:pPr>
    </w:p>
    <w:bookmarkStart w:id="162" w:name="page163"/>
    <w:bookmarkEnd w:id="1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compensation or face other disputes under the German Act on Employees’ Inventions, our business, results of operations and financial condition could be adversely affected.</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product(s) and/or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30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155</w:t>
            </w:r>
          </w:p>
        </w:tc>
      </w:tr>
    </w:tbl>
    <w:p>
      <w:pPr>
        <w:sectPr>
          <w:pgSz w:w="11900" w:h="16838" w:orient="portrait"/>
          <w:cols w:equalWidth="0" w:num="1">
            <w:col w:w="11240"/>
          </w:cols>
          <w:pgMar w:left="320" w:top="167" w:right="339" w:bottom="1440" w:gutter="0" w:footer="0" w:header="0"/>
        </w:sectPr>
      </w:pPr>
    </w:p>
    <w:bookmarkStart w:id="163" w:name="page164"/>
    <w:bookmarkEnd w:id="1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our trademarks and trade names are not adequately protected, we may not be able to build name recognition in our markets of interest and our business may be adversely affected.</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Intellectual property rights do not necessarily address all potential threats to our competitive advantage.</w:t>
      </w:r>
    </w:p>
    <w:p>
      <w:pPr>
        <w:spacing w:after="0" w:line="21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17"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be able to make COVID-19 vaccines or therapies, and/or individualized cancer immunotherapies that are similar to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COVID-19 vaccine and/or any product candidates we may develop and commercialize or utilize similar technologies that are not covered by the claims of the patents that we now or may in the future own or have exclusively in-licensed;</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make the inventions covered by the issued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patents or pending patent applications that we own or have exclusively in-licensed;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file patent applications covering certain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their inventions;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independently develop similar or alternative technologies or duplicate any of our technologies without infringing our owned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in-licensed intellectual property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it is possible that our pending patent applications or those that we may own or in-license in the future will not lead to issued patents;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156</w:t>
            </w:r>
          </w:p>
        </w:tc>
      </w:tr>
    </w:tbl>
    <w:p>
      <w:pPr>
        <w:sectPr>
          <w:pgSz w:w="11900" w:h="16838" w:orient="portrait"/>
          <w:cols w:equalWidth="0" w:num="1">
            <w:col w:w="11240"/>
          </w:cols>
          <w:pgMar w:left="320" w:top="167" w:right="339" w:bottom="1440" w:gutter="0" w:footer="0" w:header="0"/>
        </w:sectPr>
      </w:pPr>
    </w:p>
    <w:bookmarkStart w:id="164" w:name="page165"/>
    <w:bookmarkEnd w:id="1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or have exclusively in-licensed may be held invalid or unenforceable, including as a result of legal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by our competitors;</w:t>
      </w:r>
    </w:p>
    <w:p>
      <w:pPr>
        <w:spacing w:after="0" w:line="216" w:lineRule="exact"/>
        <w:rPr>
          <w:sz w:val="20"/>
          <w:szCs w:val="20"/>
          <w:color w:val="auto"/>
        </w:rPr>
      </w:pPr>
    </w:p>
    <w:p>
      <w:pPr>
        <w:jc w:val="right"/>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might conduct research, development, testing or commercialization activities in countries where we do not have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and then use the information learned from such activities to develop competitive products for sale in our major commercial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develop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may have an adverse effect on our business;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choose not to file a patent in order to maintain certain trade secrets or know-how, and a third party may subsequently file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covering such intellectual property.</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not be able to develop or obtain approval for companion diagnostics required for commercialization of some of our product candidates.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200" w:lineRule="exact"/>
        <w:rPr>
          <w:sz w:val="20"/>
          <w:szCs w:val="20"/>
          <w:color w:val="auto"/>
        </w:rPr>
      </w:pPr>
    </w:p>
    <w:p>
      <w:pPr>
        <w:spacing w:after="0" w:line="30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r>
        <w:rPr>
          <w:sz w:val="20"/>
          <w:szCs w:val="20"/>
          <w:color w:val="auto"/>
        </w:rPr>
        <w:tab/>
      </w:r>
      <w:r>
        <w:rPr>
          <w:rFonts w:ascii="Times New Roman" w:cs="Times New Roman" w:eastAsia="Times New Roman" w:hAnsi="Times New Roman"/>
          <w:sz w:val="21"/>
          <w:szCs w:val="21"/>
          <w:b w:val="1"/>
          <w:bCs w:val="1"/>
          <w:color w:val="C3C3C3"/>
        </w:rPr>
        <w:t>157</w:t>
      </w:r>
    </w:p>
    <w:p>
      <w:pPr>
        <w:sectPr>
          <w:pgSz w:w="11900" w:h="16838" w:orient="portrait"/>
          <w:cols w:equalWidth="0" w:num="1">
            <w:col w:w="11240"/>
          </w:cols>
          <w:pgMar w:left="320" w:top="167" w:right="339" w:bottom="1440" w:gutter="0" w:footer="0" w:header="0"/>
          <w:type w:val="continuous"/>
        </w:sectPr>
      </w:pPr>
    </w:p>
    <w:bookmarkStart w:id="165" w:name="page166"/>
    <w:bookmarkEnd w:id="1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00" w:lineRule="exact"/>
        <w:rPr>
          <w:sz w:val="20"/>
          <w:szCs w:val="20"/>
          <w:color w:val="auto"/>
        </w:rPr>
      </w:pP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The FDA, the EMA or other comparable regulatory authorities may disagree with our regulatory plan and we may fail to obtain regulatory approval of our product candidates.</w:t>
      </w:r>
    </w:p>
    <w:p>
      <w:pPr>
        <w:spacing w:after="0" w:line="17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200" w:lineRule="exact"/>
        <w:rPr>
          <w:sz w:val="20"/>
          <w:szCs w:val="20"/>
          <w:color w:val="auto"/>
        </w:rPr>
      </w:pPr>
    </w:p>
    <w:p>
      <w:pPr>
        <w:spacing w:after="0" w:line="30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clinical trial results may also not support approval. In addition, our product candidates could fail to receive regulatory approval for many reasons, including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the design or implementation of our clinical trials;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158</w:t>
            </w:r>
          </w:p>
        </w:tc>
      </w:tr>
    </w:tbl>
    <w:p>
      <w:pPr>
        <w:sectPr>
          <w:pgSz w:w="11900" w:h="16838" w:orient="portrait"/>
          <w:cols w:equalWidth="0" w:num="1">
            <w:col w:w="11240"/>
          </w:cols>
          <w:pgMar w:left="320" w:top="167" w:right="339" w:bottom="1440" w:gutter="0" w:footer="0" w:header="0"/>
        </w:sectPr>
      </w:pPr>
    </w:p>
    <w:bookmarkStart w:id="166" w:name="page167"/>
    <w:bookmarkEnd w:id="1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to the satisfaction of the FDA, the EMA or comparable regulatory authorities that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are safe and effective for any of their proposed indications;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clinical trials may not meet the level of statistical significance required by the FDA, the EMA or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 for approval, including due to the heterogeneity of patient populations;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that our product candidates’ clinical and other benefits outweigh their safety risks;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our interpretation of data from preclinical studies or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trials;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data collected from clinical trials of our product candidates may not be sufficient to the satisfaction of the FDA, the EMA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comparable regulatory authorities to support the submission of a BLA or other comparable submissions or to obtain regulatory approval in the United States or elsewhere;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will inspect our manufacturing facilities and may not approve our facilities 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processes and controls;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approval policies or regulations of the FDA, the EMA or comparable regulatory authorities may significantly change in a manner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rendering our clinical data insufficient for approval; and</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appointees of the presidential administration in the United States may seek to change regulatory requirements for the approval of products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 approach to the review of product applications.</w:t>
      </w:r>
    </w:p>
    <w:p>
      <w:pPr>
        <w:spacing w:after="0" w:line="17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159</w:t>
            </w:r>
          </w:p>
        </w:tc>
      </w:tr>
    </w:tbl>
    <w:p>
      <w:pPr>
        <w:sectPr>
          <w:pgSz w:w="11900" w:h="16838" w:orient="portrait"/>
          <w:cols w:equalWidth="0" w:num="1">
            <w:col w:w="11240"/>
          </w:cols>
          <w:pgMar w:left="320" w:top="167" w:right="339" w:bottom="1440" w:gutter="0" w:footer="0" w:header="0"/>
        </w:sectPr>
      </w:pPr>
    </w:p>
    <w:bookmarkStart w:id="167" w:name="page168"/>
    <w:bookmarkEnd w:id="1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00" w:lineRule="exact"/>
        <w:rPr>
          <w:sz w:val="20"/>
          <w:szCs w:val="20"/>
          <w:color w:val="auto"/>
        </w:rPr>
      </w:pPr>
    </w:p>
    <w:p>
      <w:pPr>
        <w:spacing w:after="0" w:line="30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18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160</w:t>
            </w:r>
          </w:p>
        </w:tc>
      </w:tr>
    </w:tbl>
    <w:p>
      <w:pPr>
        <w:sectPr>
          <w:pgSz w:w="11900" w:h="16838" w:orient="portrait"/>
          <w:cols w:equalWidth="0" w:num="1">
            <w:col w:w="11240"/>
          </w:cols>
          <w:pgMar w:left="320" w:top="167" w:right="339" w:bottom="1440" w:gutter="0" w:footer="0" w:header="0"/>
        </w:sectPr>
      </w:pPr>
    </w:p>
    <w:bookmarkStart w:id="168" w:name="page169"/>
    <w:bookmarkEnd w:id="1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placed in ineffective control regimens. Drugs designated as breakthrough therapies by the FDA are also eligible for priority review if supported by clinical data at the time of the submission of the BLA.</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3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161</w:t>
            </w:r>
          </w:p>
        </w:tc>
      </w:tr>
    </w:tbl>
    <w:p>
      <w:pPr>
        <w:sectPr>
          <w:pgSz w:w="11900" w:h="16838" w:orient="portrait"/>
          <w:cols w:equalWidth="0" w:num="1">
            <w:col w:w="11240"/>
          </w:cols>
          <w:pgMar w:left="320" w:top="167" w:right="339" w:bottom="1440" w:gutter="0" w:footer="0" w:header="0"/>
        </w:sectPr>
      </w:pPr>
    </w:p>
    <w:bookmarkStart w:id="169" w:name="page170"/>
    <w:bookmarkEnd w:id="1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3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 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200" w:lineRule="exact"/>
        <w:rPr>
          <w:sz w:val="20"/>
          <w:szCs w:val="20"/>
          <w:color w:val="auto"/>
        </w:rPr>
      </w:pPr>
    </w:p>
    <w:p>
      <w:pPr>
        <w:spacing w:after="0" w:line="3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162</w:t>
            </w:r>
          </w:p>
        </w:tc>
      </w:tr>
    </w:tbl>
    <w:p>
      <w:pPr>
        <w:sectPr>
          <w:pgSz w:w="11900" w:h="16838" w:orient="portrait"/>
          <w:cols w:equalWidth="0" w:num="1">
            <w:col w:w="11240"/>
          </w:cols>
          <w:pgMar w:left="320" w:top="167" w:right="339" w:bottom="1440" w:gutter="0" w:footer="0" w:header="0"/>
        </w:sectPr>
      </w:pPr>
    </w:p>
    <w:bookmarkStart w:id="170" w:name="page171"/>
    <w:bookmarkEnd w:id="1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regulatory agencies and advisory committees and comply with applicable requirements and guidelines. If we fail to do so, we may be required to delay or discontinue development of some or all of our product candidates.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7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Delay or failure to obtain, or unexpected costs in obtaining, the regulatory approval necessary to bring a potential product to market could decrease our ability to generate sufficient product sales revenue to maintain our business.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163</w:t>
            </w:r>
          </w:p>
        </w:tc>
      </w:tr>
    </w:tbl>
    <w:p>
      <w:pPr>
        <w:sectPr>
          <w:pgSz w:w="11900" w:h="16838" w:orient="portrait"/>
          <w:cols w:equalWidth="0" w:num="1">
            <w:col w:w="11240"/>
          </w:cols>
          <w:pgMar w:left="320" w:top="167" w:right="339" w:bottom="1440" w:gutter="0" w:footer="0" w:header="0"/>
        </w:sectPr>
      </w:pPr>
    </w:p>
    <w:bookmarkStart w:id="171" w:name="page172"/>
    <w:bookmarkEnd w:id="1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unable to obtain regulatory approval for our product candidates under applicable international regulatory requirements.</w:t>
      </w:r>
    </w:p>
    <w:p>
      <w:pPr>
        <w:spacing w:after="0" w:line="21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denial or delay of such approval would delay commercialization of our product candidates and adversely impact our potential to generate revenue, our business and our results of operations.</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200" w:lineRule="exact"/>
        <w:rPr>
          <w:sz w:val="20"/>
          <w:szCs w:val="20"/>
          <w:color w:val="auto"/>
        </w:rPr>
      </w:pPr>
    </w:p>
    <w:p>
      <w:pPr>
        <w:spacing w:after="0" w:line="30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If these materials are disclosed, lost, or diverted to third parties or competitors during the application preparation process, this could negatively affect our ability to protect our intellectual property.</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partners in different countries are subject to local regulatory requirements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164</w:t>
            </w:r>
          </w:p>
        </w:tc>
      </w:tr>
    </w:tbl>
    <w:p>
      <w:pPr>
        <w:sectPr>
          <w:pgSz w:w="11900" w:h="16838" w:orient="portrait"/>
          <w:cols w:equalWidth="0" w:num="1">
            <w:col w:w="11240"/>
          </w:cols>
          <w:pgMar w:left="320" w:top="167" w:right="339" w:bottom="1440" w:gutter="0" w:footer="0" w:header="0"/>
        </w:sectPr>
      </w:pPr>
    </w:p>
    <w:bookmarkStart w:id="172" w:name="page173"/>
    <w:bookmarkEnd w:id="1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200" w:lineRule="exact"/>
        <w:rPr>
          <w:sz w:val="20"/>
          <w:szCs w:val="20"/>
          <w:color w:val="auto"/>
        </w:rPr>
      </w:pPr>
    </w:p>
    <w:p>
      <w:pPr>
        <w:spacing w:after="0" w:line="30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fail to comply with applicable regulatory requirements following approval of any of our product candidates, a regulatory agency may: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adverse public statements about our business or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 warning letter asserting that we are in violation of the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165</w:t>
            </w:r>
          </w:p>
        </w:tc>
      </w:tr>
    </w:tbl>
    <w:p>
      <w:pPr>
        <w:sectPr>
          <w:pgSz w:w="11900" w:h="16838" w:orient="portrait"/>
          <w:cols w:equalWidth="0" w:num="1">
            <w:col w:w="11240"/>
          </w:cols>
          <w:pgMar w:left="320" w:top="167" w:right="339" w:bottom="1440" w:gutter="0" w:footer="0" w:header="0"/>
        </w:sectPr>
      </w:pPr>
    </w:p>
    <w:bookmarkStart w:id="173" w:name="page174"/>
    <w:bookmarkEnd w:id="1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an injunction or impose civil or criminal penalties or monetary fines;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or withdraw regulatory approval or revoke a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any ongoing clinical studies;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approve a pending BLA (or comparable approval) or supplements to a BLA (or comparable approval) submitted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seize product;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allow us to enter into supply contracts, including government contracts.</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23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200" w:lineRule="exact"/>
        <w:rPr>
          <w:sz w:val="20"/>
          <w:szCs w:val="20"/>
          <w:color w:val="auto"/>
        </w:rPr>
      </w:pP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166</w:t>
            </w:r>
          </w:p>
        </w:tc>
      </w:tr>
    </w:tbl>
    <w:p>
      <w:pPr>
        <w:sectPr>
          <w:pgSz w:w="11900" w:h="16838" w:orient="portrait"/>
          <w:cols w:equalWidth="0" w:num="1">
            <w:col w:w="11240"/>
          </w:cols>
          <w:pgMar w:left="320" w:top="167" w:right="339" w:bottom="1440" w:gutter="0" w:footer="0" w:header="0"/>
        </w:sectPr>
      </w:pPr>
    </w:p>
    <w:bookmarkStart w:id="174" w:name="page175"/>
    <w:bookmarkEnd w:id="1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Furthermore, if we or others later identify undesirable side effects caused by any product that we develop, several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suspend or withdraw approvals or revoke licenses of such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additional warnings on the label;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make unfavorable statements about the safety of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change the way a product is administered or conduct additional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 and their children;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suffer.</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Governmental investigations and inquiries with respect to our COVID-19 vaccine and any other product candidates for which we receive approval or emergency use authorization may adversely affect our business, financial condition and results of operations.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April 2025, we, along with several other pharmaceutical companies, received a letter from the Chairman of the Permanent Subcommittee on Investigations of the U.S. Senate Homeland Security and Governmental Affairs Committee, or the Subcommittee, that requested certain information and documents relating to the respective COVID-19 vaccines we developed (in our case,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).This and other governmental investigations or inquiries in which we may become involved may result in additional claims and lawsuits being brought against us by governmental agencies or private parties. It is not possible at this time to predict either the outcome or the potential financial impact of the congressional investigation mentioned above or any further investigations or inquiries of us that may result from such investigation. It is also not possible at this time to predict the additional expenses related to such investigation, which may be significant. The initiation of any additional investigation relating to us, the costs and expenses associated therewith, or any assertion, claim or finding of wrongdoing by us, could: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167</w:t>
            </w:r>
          </w:p>
        </w:tc>
      </w:tr>
    </w:tbl>
    <w:p>
      <w:pPr>
        <w:sectPr>
          <w:pgSz w:w="11900" w:h="16838" w:orient="portrait"/>
          <w:cols w:equalWidth="0" w:num="1">
            <w:col w:w="11240"/>
          </w:cols>
          <w:pgMar w:left="320" w:top="167" w:right="339" w:bottom="1440" w:gutter="0" w:footer="0" w:header="0"/>
        </w:sectPr>
      </w:pPr>
    </w:p>
    <w:bookmarkStart w:id="175" w:name="page176"/>
    <w:bookmarkEnd w:id="1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 in reputational harm and reduced market acceptance and demand for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and our commercial partners’ ability to market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to develop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us to incur significant liabilities, costs and expenses;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our senior management to be distracted from execution of our business strategy.</w:t>
      </w:r>
    </w:p>
    <w:p>
      <w:pPr>
        <w:spacing w:after="0" w:line="33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Furthermore, the pending congressional investigation could negatively affect our ability to raise capital and impair our ability to engage in strategic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directly or indirectly, to federal and state healthcare fraud and abuse laws, false claims laws, and other healthcare laws.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comply, or have not fully complied, with such laws, we could face substantial penalties.</w:t>
      </w:r>
    </w:p>
    <w:p>
      <w:pPr>
        <w:spacing w:after="0" w:line="19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200" w:lineRule="exact"/>
        <w:rPr>
          <w:sz w:val="20"/>
          <w:szCs w:val="20"/>
          <w:color w:val="auto"/>
        </w:rPr>
      </w:pPr>
    </w:p>
    <w:p>
      <w:pPr>
        <w:spacing w:after="0" w:line="304"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Anti-Kickback Statute, which prohibits, among other things, persons or entities from knowingly and willfully soliciting,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200" w:lineRule="exact"/>
        <w:rPr>
          <w:sz w:val="20"/>
          <w:szCs w:val="20"/>
          <w:color w:val="auto"/>
        </w:rPr>
      </w:pPr>
    </w:p>
    <w:p>
      <w:pPr>
        <w:spacing w:after="0" w:line="304"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civil and criminal false claims laws and civil monetary penalty laws, which prohibit, among other things, individuals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Health Insurance Portability and Accountability Act of 1996, or HIPAA, which created new federal criminal statutes that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prohibit a person from knowingly and willfully executing a</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168</w:t>
            </w:r>
          </w:p>
        </w:tc>
      </w:tr>
    </w:tbl>
    <w:p>
      <w:pPr>
        <w:sectPr>
          <w:pgSz w:w="11900" w:h="16838" w:orient="portrait"/>
          <w:cols w:equalWidth="0" w:num="1">
            <w:col w:w="11240"/>
          </w:cols>
          <w:pgMar w:left="320" w:top="167" w:right="339" w:bottom="1440" w:gutter="0" w:footer="0" w:header="0"/>
        </w:sectPr>
      </w:pPr>
    </w:p>
    <w:bookmarkStart w:id="176" w:name="page177"/>
    <w:bookmarkEnd w:id="1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292" w:lineRule="auto"/>
        <w:rPr>
          <w:sz w:val="20"/>
          <w:szCs w:val="20"/>
          <w:color w:val="auto"/>
        </w:rPr>
      </w:pPr>
      <w:r>
        <w:rPr>
          <w:rFonts w:ascii="Times New Roman" w:cs="Times New Roman" w:eastAsia="Times New Roman" w:hAnsi="Times New Roman"/>
          <w:sz w:val="18"/>
          <w:szCs w:val="18"/>
          <w:color w:val="080509"/>
        </w:rPr>
        <w:t>scheme or making false or fraudulent statements to defraud any healthcare benefit program, regardless of the payor (e.g., public or private);</w:t>
      </w:r>
    </w:p>
    <w:p>
      <w:pPr>
        <w:spacing w:after="0" w:line="200" w:lineRule="exact"/>
        <w:rPr>
          <w:sz w:val="20"/>
          <w:szCs w:val="20"/>
          <w:color w:val="auto"/>
        </w:rPr>
      </w:pPr>
    </w:p>
    <w:p>
      <w:pPr>
        <w:spacing w:after="0" w:line="358" w:lineRule="exact"/>
        <w:rPr>
          <w:sz w:val="20"/>
          <w:szCs w:val="20"/>
          <w:color w:val="auto"/>
        </w:rPr>
      </w:pPr>
    </w:p>
    <w:p>
      <w:pPr>
        <w:jc w:val="right"/>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HIPAA, as amended by the Health Information Technology for Economic and Clinical Health Act and their implementing regulations,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Food, Drug, and Cosmetic Act, which prohibits, among other things, the adulteration or misbranding of drugs, biologics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medical devices;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Public Health Service Act, which prohibits, among other things, the introduction into interstate commerce of a biological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unless a biologics license is in effect for that product;</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Federal transparency laws, including the federal Physician Payment Sunshine Act, which require disclosure of payments and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transfers of value provided to physicians and teaching hospitals, and ownership and investment interests held by physicians and other healthcare providers and their immediate family members and applicable group purchasing organizations;</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U.S. state law equivalents of each of the above federal laws, state laws that require drug manufacturers to report information related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235"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Foreign Corrupt Practices Act of 1977, as amended, which prohibits, among other things, U.S. companies and their employees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Similar statutes, healthcare laws and regulations in the European Union and other jurisdictions, including reporting requirements detailing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interactions with and payments to healthcare providers.</w:t>
      </w:r>
    </w:p>
    <w:p>
      <w:pPr>
        <w:spacing w:after="0" w:line="217"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provision of benefits or advantages to physicians to induce or encourage the prescription, recommendation, endorsement, purchase, supply, order or use of medicinal products is prohibited in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169</w:t>
            </w:r>
          </w:p>
        </w:tc>
      </w:tr>
    </w:tbl>
    <w:p>
      <w:pPr>
        <w:sectPr>
          <w:pgSz w:w="11900" w:h="16838" w:orient="portrait"/>
          <w:cols w:equalWidth="0" w:num="1">
            <w:col w:w="11240"/>
          </w:cols>
          <w:pgMar w:left="320" w:top="167" w:right="339" w:bottom="1440" w:gutter="0" w:footer="0" w:header="0"/>
        </w:sectPr>
      </w:pPr>
    </w:p>
    <w:bookmarkStart w:id="177" w:name="page178"/>
    <w:bookmarkEnd w:id="1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certain anti-corruption, anti-money laundering, export control, sanctions, and other trade laws and regulations. We can face serious consequences for violations.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receive, generate and store significant and increasing volumes of sensitive information, such as employee, personal and patient data.</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170</w:t>
            </w:r>
          </w:p>
        </w:tc>
      </w:tr>
    </w:tbl>
    <w:p>
      <w:pPr>
        <w:sectPr>
          <w:pgSz w:w="11900" w:h="16838" w:orient="portrait"/>
          <w:cols w:equalWidth="0" w:num="1">
            <w:col w:w="11240"/>
          </w:cols>
          <w:pgMar w:left="320" w:top="167" w:right="339" w:bottom="1440" w:gutter="0" w:footer="0" w:header="0"/>
        </w:sectPr>
      </w:pPr>
    </w:p>
    <w:bookmarkStart w:id="178" w:name="page179"/>
    <w:bookmarkEnd w:id="1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23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 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23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regulates transfer human genetic data generated in clinical research to foreign or foreign controlled parties), may require approvals or filings prior to transferring those data to foreign-owned entities or overseas, and these regimes are continually evolving, meaning their interpretation and application may be uncertain.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171</w:t>
            </w:r>
          </w:p>
        </w:tc>
      </w:tr>
    </w:tbl>
    <w:p>
      <w:pPr>
        <w:sectPr>
          <w:pgSz w:w="11900" w:h="16838" w:orient="portrait"/>
          <w:cols w:equalWidth="0" w:num="1">
            <w:col w:w="11240"/>
          </w:cols>
          <w:pgMar w:left="320" w:top="167" w:right="339" w:bottom="1440" w:gutter="0" w:footer="0" w:header="0"/>
        </w:sectPr>
      </w:pPr>
    </w:p>
    <w:bookmarkStart w:id="179" w:name="page180"/>
    <w:bookmarkEnd w:id="1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important data and personal information originated from our clinical trial activities, which are critical to the development of our pipelines.</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 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00" w:lineRule="exact"/>
        <w:rPr>
          <w:sz w:val="20"/>
          <w:szCs w:val="20"/>
          <w:color w:val="auto"/>
        </w:rPr>
      </w:pPr>
    </w:p>
    <w:p>
      <w:pPr>
        <w:spacing w:after="0" w:line="31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172</w:t>
            </w:r>
          </w:p>
        </w:tc>
      </w:tr>
    </w:tbl>
    <w:p>
      <w:pPr>
        <w:sectPr>
          <w:pgSz w:w="11900" w:h="16838" w:orient="portrait"/>
          <w:cols w:equalWidth="0" w:num="1">
            <w:col w:w="11240"/>
          </w:cols>
          <w:pgMar w:left="320" w:top="167" w:right="339" w:bottom="1440" w:gutter="0" w:footer="0" w:header="0"/>
        </w:sectPr>
      </w:pPr>
    </w:p>
    <w:bookmarkStart w:id="180" w:name="page181"/>
    <w:bookmarkEnd w:id="1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3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3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Ownership of the ADSs</w:t>
      </w:r>
    </w:p>
    <w:p>
      <w:pPr>
        <w:spacing w:after="0" w:line="17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b w:val="1"/>
          <w:bCs w:val="1"/>
          <w:color w:val="005A64"/>
        </w:rPr>
        <w:t>We have experienced and may continue to experience significant volatility in the market price of the ADSs representing our ordinary shares.</w:t>
      </w:r>
    </w:p>
    <w:p>
      <w:pPr>
        <w:spacing w:after="0" w:line="39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173</w:t>
            </w:r>
          </w:p>
        </w:tc>
      </w:tr>
    </w:tbl>
    <w:p>
      <w:pPr>
        <w:sectPr>
          <w:pgSz w:w="11900" w:h="16838" w:orient="portrait"/>
          <w:cols w:equalWidth="0" w:num="1">
            <w:col w:w="11240"/>
          </w:cols>
          <w:pgMar w:left="320" w:top="167" w:right="339" w:bottom="1440" w:gutter="0" w:footer="0" w:header="0"/>
        </w:sectPr>
      </w:pPr>
    </w:p>
    <w:bookmarkStart w:id="181" w:name="page182"/>
    <w:bookmarkEnd w:id="1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and commercialization activities. For example, during 2024, the closing sales price of the ADSs representing our ordinary shares on the Nasdaq Global Select Market ranged from $78.36 to $124.71,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 COVID-19 vaccine is currently among the primary vaccines being used worldwide, any news regarding 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38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operating expenses and cash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assumption of additional indebtedness or contingent liabilities;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assimilation of operations, intellectual property and products of an acquired company, including difficulties associated with integrating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new personnel;</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diversion of our management’s attention from our existing product programs and initiatives in pursuing such a strategic merger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acquisition;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retention of key employees, the loss of key personnel, and uncertainties in our ability to maintain key business relationships;</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and uncertainties associated with the other party to such a transaction, including the prospects of that party and their existing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product candidates and regulatory approvals, their quality control, quality assurance, internal controls, legal and compliance procedures; and</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inability to generate revenue from acquired technology or products sufficient to meet our objectives in undertaking the acquisition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to offset the associated acquisition and maintenance costs.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174</w:t>
            </w:r>
          </w:p>
        </w:tc>
      </w:tr>
    </w:tbl>
    <w:p>
      <w:pPr>
        <w:sectPr>
          <w:pgSz w:w="11900" w:h="16838" w:orient="portrait"/>
          <w:cols w:equalWidth="0" w:num="1">
            <w:col w:w="11240"/>
          </w:cols>
          <w:pgMar w:left="320" w:top="167" w:right="339" w:bottom="1440" w:gutter="0" w:footer="0" w:header="0"/>
        </w:sectPr>
      </w:pPr>
    </w:p>
    <w:bookmarkStart w:id="182" w:name="page183"/>
    <w:bookmarkEnd w:id="1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 company, for upfront consideration predominantly of cash, with a small portion in our ADSs, and potential future milestone payments. Although the Biotheus acquisition expands our operations in China, our expectations regarding the creation of long-term value for shareholders and potential future commercialization in oncology may not be realized. In June 2025, we entered into a purchase agreement with CureVac N.V., a biotechnology company focused on the development of mRNA therapeutics, to acquire CureVac through a public exchange offer. While we believe the proposed acquisition has the potential to enhance our capabilities in mRNA research, development, manufacturing and commercialization, there can be no assurance that the transaction will be completed on the expected timeline or at all, or that we will realize the anticipated benefits from the transaction, if completed. There is no guarantee that we will realize any anticipated benefits of these or future acquisitions, or that the diversification of our business through acquired technology or products will be successful.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CureVac (or after closing the acquisition, we) may be required to repay monies received under the Advance Purchase Agreement with the European Commission for its first-generation COVID-19 vaccine candidate.</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On November 30, 2020, CureVac SE entered into an Advance Purchase Agreement, which we refer to as the APA, with the EU Commission, acting on behalf of all Member States of the European Union, for the supply of up to 405 million doses of its first-generation COVID-19 vaccine candidate, which we refer to as CVnCoV. Under the APA, CureVac SE received an upfront payment of €450 million for development and commercial supply activities of CVnCoV. In October 2021, CureVac SE notified the EU Commission of the withdrawal of its regulatory approval application for CVnCoV, which notification automatically terminated the APA. According to the APA, in such case of termination, CureVac SE would be required to return any unspent amount of the upfront payment. In the context of the APA, “spent” means either costs incurred, or commitments made in connection with the purposes set forth in the APA.</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On July 24, 2024, the EU Commission informed CureVac SE that it had engaged Deloitte, S.L., which we refer to as Deloitte, to conduct an audit of CureVac SE’s compliance with the APA. On September 17, 2025, the EU Commission provided CureVac SE with Deloitte’s draft audit report, which included preliminary findings alleging missing documentation, absence of project cost allocation, cost traceability and reconciliations, as well as inconsistencies between information submitted during the</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175</w:t>
            </w:r>
          </w:p>
        </w:tc>
      </w:tr>
    </w:tbl>
    <w:p>
      <w:pPr>
        <w:sectPr>
          <w:pgSz w:w="11900" w:h="16838" w:orient="portrait"/>
          <w:cols w:equalWidth="0" w:num="1">
            <w:col w:w="11240"/>
          </w:cols>
          <w:pgMar w:left="320" w:top="167" w:right="339" w:bottom="1440" w:gutter="0" w:footer="0" w:header="0"/>
        </w:sectPr>
      </w:pPr>
    </w:p>
    <w:bookmarkStart w:id="183" w:name="page184"/>
    <w:bookmarkEnd w:id="1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audit and financial information previously provided to the EU Commission. CureVac SE is cooperating fully with the EU Commission and Deloitte and submitted a detailed response and objections on October 17, 2025. The EU Commission is expected to issue a final audit report within 60 days thereafter.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CureVac SE contested the findings in Deloitte’s draft audit report and believes it can refute the issues raised.</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However, it remains uncertain to what extent Deloitte and the EU Commission will accept CureVac SE’s position. It is also unclear whether the EU Commission will rely on Deloitte’s final audit report to seek recovery of any portion or all of the €450 million upfront payment. CureVac SE cannot exclude the possibility of being required to repay a portion or all of the €450 million upfront payment. Should CureVac (or after closing the acquisition, we) be unsuccessful in contesting any such repayment claims, or the payment of related fines, this could materially affect our financial position, cash flows, and results of operations.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23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176</w:t>
            </w:r>
          </w:p>
        </w:tc>
      </w:tr>
    </w:tbl>
    <w:p>
      <w:pPr>
        <w:sectPr>
          <w:pgSz w:w="11900" w:h="16838" w:orient="portrait"/>
          <w:cols w:equalWidth="0" w:num="1">
            <w:col w:w="11240"/>
          </w:cols>
          <w:pgMar w:left="320" w:top="167" w:right="339" w:bottom="1440" w:gutter="0" w:footer="0" w:header="0"/>
        </w:sectPr>
      </w:pPr>
    </w:p>
    <w:bookmarkStart w:id="184" w:name="page185"/>
    <w:bookmarkEnd w:id="18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158"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 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amount and frequency of our dividends and ADS repurchases may fluctuate.</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executive officers, directors, five percent shareholders, and their affiliates beneficially own a majority of our ordinary shares (including ordinary shares represented by ADSs) as of December 31, 2024,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177</w:t>
            </w:r>
          </w:p>
        </w:tc>
      </w:tr>
    </w:tbl>
    <w:p>
      <w:pPr>
        <w:sectPr>
          <w:pgSz w:w="11900" w:h="16838" w:orient="portrait"/>
          <w:cols w:equalWidth="0" w:num="1">
            <w:col w:w="11240"/>
          </w:cols>
          <w:pgMar w:left="320" w:top="167" w:right="339" w:bottom="1440" w:gutter="0" w:footer="0" w:header="0"/>
        </w:sectPr>
      </w:pPr>
    </w:p>
    <w:bookmarkStart w:id="185" w:name="page186"/>
    <w:bookmarkEnd w:id="18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filed registration statements on Form S-8 under the Securities Act to register all ordinary shares issued or issuable under our equity plans. Such Form S-8 registration statements have become, and any other registration statements on Form S-8 we file in the future will become, effective upon filing, upon which shares registered under such registration statements become available for sale in the open market.</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are a “passive foreign investment company” for U.S. federal income tax purposes, there may be adverse U.S. federal income tax consequences to U.S. investors.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2024)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have made available to U.S. Holders the information necessary to make and maintain a QEF election for the year ended December 31, 2024, and intend to provide U.S. holders with the necessary information for any taxable year in which we are treated as a PFIC. See “Taxation —Material United States federal income tax considerations —Passive foreign investment company considerations” in our Annual Report on Form 20-F as of and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Whether we are a PFIC for any taxable year will depend on the composition of our income and the composition and value of our assets from time to time. Each U.S. Holder is strongly urged to consult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178</w:t>
            </w:r>
          </w:p>
        </w:tc>
      </w:tr>
    </w:tbl>
    <w:p>
      <w:pPr>
        <w:sectPr>
          <w:pgSz w:w="11900" w:h="16838" w:orient="portrait"/>
          <w:cols w:equalWidth="0" w:num="1">
            <w:col w:w="11240"/>
          </w:cols>
          <w:pgMar w:left="320" w:top="167" w:right="339" w:bottom="1440" w:gutter="0" w:footer="0" w:header="0"/>
        </w:sectPr>
      </w:pPr>
    </w:p>
    <w:bookmarkStart w:id="186" w:name="page187"/>
    <w:bookmarkEnd w:id="18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their tax advisor regarding these issues and any available elections to mitigate such tax consequences.</w:t>
      </w:r>
    </w:p>
    <w:p>
      <w:pPr>
        <w:spacing w:after="0" w:line="2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The acquisition of a substantial interest in the Company by non-EU/non-EFTA investors requires government approval, which may restrict certain investments and limit demand for the BioNTech ADSs.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As the Company is considered an operator of “critical infrastructure” within the meaning of the Ordinance on the Designation of Critical Infrastructure pursuant to the BSI Act (Verordnung zur Bestimmung Kritischer Infrastrukturen nach dem BSI-Gesetz), it falls within the scope of the cross-sector review of the German foreign investment screening regime under the German Foreign Trade and Payments Ordinance (Außenwirtschaftsverordnung). As a result, non-EU/non-EFTA investors intending to acquire, directly or indirectly, at least 10% of the voting rights in the Company or who already hold voting rights in the Company and will acquire further voting rights reaching or exceeding 20%, 25%, 40%, 50% or 75% of the voting rights in the Company must notify the planned acquisition to the German Federal Ministry for Economic Affairs and Energy (Bundesministerium für Wirtschaft und Energie, or the BMWE). The BMWE will then assess whether the acquisition likely adversely affects the public order or security of Germany or other EU member states or projects or programs of Union interest within the meaning of Article 8 of Regulation (EU) 2019/452 of the European Parliament and of the Council of 19 March 2019 establishing a framework for the screening of foreign direct investments into the Union. Clearance by the BMWE qualifies as a closing condition for all over-the-counter transactions. If the acquisition has been made via the stock exchange, the acquirer is prohibited from exercising its voting rights until the transaction has been cleared or is deemed cleared. If the BMWE identifies likely adverse effects, the acquisition of voting rights in the Company could be restricted or prohibited or, if the acquisition has been made via the stock exchange, the BMWE may order a sell-down of the voting rights in the Company acquired via the stock exchange or a transfer to a trustee within a certain period of time and/or prohibit the exercise of voting rights until such time as the acquisition is finally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179</w:t>
            </w:r>
          </w:p>
        </w:tc>
      </w:tr>
    </w:tbl>
    <w:p>
      <w:pPr>
        <w:sectPr>
          <w:pgSz w:w="11900" w:h="16838" w:orient="portrait"/>
          <w:cols w:equalWidth="0" w:num="1">
            <w:col w:w="11240"/>
          </w:cols>
          <w:pgMar w:left="320" w:top="167" w:right="339" w:bottom="1440" w:gutter="0" w:footer="0" w:header="0"/>
        </w:sectPr>
      </w:pPr>
    </w:p>
    <w:bookmarkStart w:id="187" w:name="page188"/>
    <w:bookmarkEnd w:id="18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Disclaimer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Forward-Looking Statements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discussions with regulatory agencies; our expectations with respect to intellectual property; the impact of our planned acquisition of CureVac N.V.; the impact of our collaboration and licensing agreements; the development, nature and feasibility of sustainable vaccine production and supply solutions; the deployment of AI across our preclinical and clinical operations; our expectations with respect to tariff policy; our expectations with respect to government investigations;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0" w:lineRule="exact"/>
        <w:rPr>
          <w:sz w:val="20"/>
          <w:szCs w:val="20"/>
          <w:color w:val="auto"/>
        </w:rPr>
      </w:pPr>
    </w:p>
    <w:p>
      <w:pPr>
        <w:spacing w:after="0" w:line="312"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regarding our COVID-19 vaccines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our other product candidates, including those with different mechanisms of action and different manufacturing and distribution constraints, on the basis of,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180</w:t>
            </w:r>
          </w:p>
        </w:tc>
      </w:tr>
    </w:tbl>
    <w:p>
      <w:pPr>
        <w:sectPr>
          <w:pgSz w:w="11900" w:h="16838" w:orient="portrait"/>
          <w:cols w:equalWidth="0" w:num="1">
            <w:col w:w="11240"/>
          </w:cols>
          <w:pgMar w:left="320" w:top="167" w:right="339" w:bottom="1440" w:gutter="0" w:footer="0" w:header="0"/>
        </w:sectPr>
      </w:pPr>
    </w:p>
    <w:bookmarkStart w:id="188" w:name="page189"/>
    <w:bookmarkEnd w:id="18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efficacy, cost, convenience of storage and distribution, breadth of approved use, side-effect profile and durability of immune response; the timing of and our ability to obtain and maintain regulatory approval for our product candidates; the ability of our COVID-19 vaccine to prevent COVID-19 caused by emerging virus variants; our and our counterparties’ ability to manage and source necessary energy resources;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COVID-19 on our development programs, supply chain, collaborators and financial performance; unforeseen safety issues and claims for personal injury or death arising from the use of our COVID-19 vaccine and other products and product candidates developed or manufactured by us; our ability and that of our collaborators to commercialize and market our COVID-19 vaccine and, if approved, our product candidates;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and nine months ended September 30, 2025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quarterly report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General Information</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The BioNTech name, and certain other names used or intended to be used by our business, are protected by trademarks. Our trademark portfolio includes, but is not limited to, </w:t>
      </w:r>
      <w:r>
        <w:rPr>
          <w:rFonts w:ascii="Times New Roman" w:cs="Times New Roman" w:eastAsia="Times New Roman" w:hAnsi="Times New Roman"/>
          <w:sz w:val="18"/>
          <w:szCs w:val="18"/>
          <w:i w:val="1"/>
          <w:iCs w:val="1"/>
          <w:color w:val="080509"/>
        </w:rPr>
        <w:t>BioNTech</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RiboCytokine</w:t>
      </w:r>
      <w:r>
        <w:rPr>
          <w:rFonts w:ascii="Times New Roman" w:cs="Times New Roman" w:eastAsia="Times New Roman" w:hAnsi="Times New Roman"/>
          <w:sz w:val="18"/>
          <w:szCs w:val="18"/>
          <w:color w:val="080509"/>
        </w:rPr>
        <w:t xml:space="preserve"> and </w:t>
      </w:r>
      <w:r>
        <w:rPr>
          <w:rFonts w:ascii="Times New Roman" w:cs="Times New Roman" w:eastAsia="Times New Roman" w:hAnsi="Times New Roman"/>
          <w:sz w:val="18"/>
          <w:szCs w:val="18"/>
          <w:i w:val="1"/>
          <w:iCs w:val="1"/>
          <w:color w:val="080509"/>
        </w:rPr>
        <w:t>RiboMab</w:t>
      </w:r>
      <w:r>
        <w:rPr>
          <w:rFonts w:ascii="Times New Roman" w:cs="Times New Roman" w:eastAsia="Times New Roman" w:hAnsi="Times New Roman"/>
          <w:sz w:val="18"/>
          <w:szCs w:val="18"/>
          <w:color w:val="080509"/>
        </w:rPr>
        <w:t>, including logo versions of some of these trademarks. Brand names appearing in italics throughout this report, and the BioNTech name, are trademarks owned by BioNTech. All other trademarks are the property of their respective owners.</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and nine months ended September 30, 2025</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181</w:t>
            </w:r>
          </w:p>
        </w:tc>
      </w:tr>
    </w:tbl>
    <w:p>
      <w:pPr>
        <w:spacing w:after="0" w:line="1" w:lineRule="exact"/>
        <w:rPr>
          <w:sz w:val="20"/>
          <w:szCs w:val="20"/>
          <w:color w:val="auto"/>
        </w:rPr>
      </w:pPr>
    </w:p>
    <w:sectPr>
      <w:pgSz w:w="11900" w:h="16838" w:orient="portrait"/>
      <w:cols w:equalWidth="0" w:num="1">
        <w:col w:w="11240"/>
      </w:cols>
      <w:pgMar w:left="320" w:top="1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1)"/>
      <w:numFmt w:val="decimal"/>
      <w:start w:val="1"/>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endash "/>
      <w:numFmt w:val="bullet"/>
      <w:start w:val="1"/>
    </w:lvl>
  </w:abstractNum>
  <w:abstractNum w:abstractNumId="4">
    <w:nsid w:val="1381823A"/>
    <w:multiLevelType w:val="hybridMultilevel"/>
    <w:lvl w:ilvl="0">
      <w:lvlJc w:val="left"/>
      <w:lvlText w:val="\endash "/>
      <w:numFmt w:val="bullet"/>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1)"/>
      <w:numFmt w:val="decimal"/>
      <w:start w:val="1"/>
    </w:lvl>
  </w:abstractNum>
  <w:abstractNum w:abstractNumId="7">
    <w:nsid w:val="6590700B"/>
    <w:multiLevelType w:val="hybridMultilevel"/>
    <w:lvl w:ilvl="0">
      <w:lvlJc w:val="left"/>
      <w:lvlText w:val="\endash "/>
      <w:numFmt w:val="bullet"/>
      <w:start w:val="1"/>
    </w:lvl>
  </w:abstractNum>
  <w:abstractNum w:abstractNumId="8">
    <w:nsid w:val="15014ACB"/>
    <w:multiLevelType w:val="hybridMultilevel"/>
    <w:lvl w:ilvl="0">
      <w:lvlJc w:val="left"/>
      <w:lvlText w:val="\endash "/>
      <w:numFmt w:val="bullet"/>
      <w:start w:val="1"/>
    </w:lvl>
  </w:abstractNum>
  <w:abstractNum w:abstractNumId="9">
    <w:nsid w:val="5F5E7FD0"/>
    <w:multiLevelType w:val="hybridMultilevel"/>
    <w:lvl w:ilvl="0">
      <w:lvlJc w:val="left"/>
      <w:lvlText w:val="\endash "/>
      <w:numFmt w:val="bullet"/>
      <w:start w:val="1"/>
    </w:lvl>
  </w:abstractNum>
  <w:abstractNum w:abstractNumId="10">
    <w:nsid w:val="98A3148"/>
    <w:multiLevelType w:val="hybridMultilevel"/>
    <w:lvl w:ilvl="0">
      <w:lvlJc w:val="left"/>
      <w:lvlText w:val="\endash "/>
      <w:numFmt w:val="bullet"/>
      <w:start w:val="1"/>
    </w:lvl>
  </w:abstractNum>
  <w:abstractNum w:abstractNumId="11">
    <w:nsid w:val="799D0247"/>
    <w:multiLevelType w:val="hybridMultilevel"/>
    <w:lvl w:ilvl="0">
      <w:lvlJc w:val="left"/>
      <w:lvlText w:val="\endash "/>
      <w:numFmt w:val="bullet"/>
      <w:start w:val="1"/>
    </w:lvl>
  </w:abstractNum>
  <w:abstractNum w:abstractNumId="12">
    <w:nsid w:val="6B94764"/>
    <w:multiLevelType w:val="hybridMultilevel"/>
    <w:lvl w:ilvl="0">
      <w:lvlJc w:val="left"/>
      <w:lvlText w:val="\endash "/>
      <w:numFmt w:val="bullet"/>
      <w:start w:val="1"/>
    </w:lvl>
  </w:abstractNum>
  <w:abstractNum w:abstractNumId="13">
    <w:nsid w:val="42C296BD"/>
    <w:multiLevelType w:val="hybridMultilevel"/>
    <w:lvl w:ilvl="0">
      <w:lvlJc w:val="left"/>
      <w:lvlText w:val="\endash "/>
      <w:numFmt w:val="bullet"/>
      <w:start w:val="1"/>
    </w:lvl>
  </w:abstractNum>
  <w:abstractNum w:abstractNumId="14">
    <w:nsid w:val="168E121F"/>
    <w:multiLevelType w:val="hybridMultilevel"/>
    <w:lvl w:ilvl="0">
      <w:lvlJc w:val="left"/>
      <w:lvlText w:val="\endash "/>
      <w:numFmt w:val="bullet"/>
      <w:start w:val="1"/>
    </w:lvl>
  </w:abstractNum>
  <w:abstractNum w:abstractNumId="15">
    <w:nsid w:val="1EBA5D23"/>
    <w:multiLevelType w:val="hybridMultilevel"/>
    <w:lvl w:ilvl="0">
      <w:lvlJc w:val="left"/>
      <w:lvlText w:val="\endash "/>
      <w:numFmt w:val="bullet"/>
      <w:start w:val="1"/>
    </w:lvl>
  </w:abstractNum>
  <w:abstractNum w:abstractNumId="16">
    <w:nsid w:val="661E3F1E"/>
    <w:multiLevelType w:val="hybridMultilevel"/>
    <w:lvl w:ilvl="0">
      <w:lvlJc w:val="left"/>
      <w:lvlText w:val="\endash "/>
      <w:numFmt w:val="bullet"/>
      <w:start w:val="1"/>
    </w:lvl>
  </w:abstractNum>
  <w:abstractNum w:abstractNumId="17">
    <w:nsid w:val="5DC79EA8"/>
    <w:multiLevelType w:val="hybridMultilevel"/>
    <w:lvl w:ilvl="0">
      <w:lvlJc w:val="left"/>
      <w:lvlText w:val="\endash "/>
      <w:numFmt w:val="bullet"/>
      <w:start w:val="1"/>
    </w:lvl>
  </w:abstractNum>
  <w:abstractNum w:abstractNumId="18">
    <w:nsid w:val="540A471C"/>
    <w:multiLevelType w:val="hybridMultilevel"/>
    <w:lvl w:ilvl="0">
      <w:lvlJc w:val="left"/>
      <w:lvlText w:val="\endash "/>
      <w:numFmt w:val="bullet"/>
      <w:start w:val="1"/>
    </w:lvl>
  </w:abstractNum>
  <w:abstractNum w:abstractNumId="19">
    <w:nsid w:val="7BD3EE7B"/>
    <w:multiLevelType w:val="hybridMultilevel"/>
    <w:lvl w:ilvl="0">
      <w:lvlJc w:val="left"/>
      <w:lvlText w:val="\endash "/>
      <w:numFmt w:val="bullet"/>
      <w:start w:val="1"/>
    </w:lvl>
  </w:abstractNum>
  <w:abstractNum w:abstractNumId="20">
    <w:nsid w:val="51D9C564"/>
    <w:multiLevelType w:val="hybridMultilevel"/>
    <w:lvl w:ilvl="0">
      <w:lvlJc w:val="left"/>
      <w:lvlText w:val="\endash "/>
      <w:numFmt w:val="bullet"/>
      <w:start w:val="1"/>
    </w:lvl>
  </w:abstractNum>
  <w:abstractNum w:abstractNumId="21">
    <w:nsid w:val="613EFDC5"/>
    <w:multiLevelType w:val="hybridMultilevel"/>
    <w:lvl w:ilvl="0">
      <w:lvlJc w:val="left"/>
      <w:lvlText w:val="\endash "/>
      <w:numFmt w:val="bullet"/>
      <w:start w:val="1"/>
    </w:lvl>
  </w:abstractNum>
  <w:abstractNum w:abstractNumId="22">
    <w:nsid w:val="BF72B14"/>
    <w:multiLevelType w:val="hybridMultilevel"/>
    <w:lvl w:ilvl="0">
      <w:lvlJc w:val="left"/>
      <w:lvlText w:val="\endash "/>
      <w:numFmt w:val="bullet"/>
      <w:start w:val="1"/>
    </w:lvl>
  </w:abstractNum>
  <w:abstractNum w:abstractNumId="23">
    <w:nsid w:val="11447B73"/>
    <w:multiLevelType w:val="hybridMultilevel"/>
    <w:lvl w:ilvl="0">
      <w:lvlJc w:val="left"/>
      <w:lvlText w:val="\endash "/>
      <w:numFmt w:val="bullet"/>
      <w:start w:val="1"/>
    </w:lvl>
  </w:abstractNum>
  <w:abstractNum w:abstractNumId="24">
    <w:nsid w:val="42963E5A"/>
    <w:multiLevelType w:val="hybridMultilevel"/>
    <w:lvl w:ilvl="0">
      <w:lvlJc w:val="left"/>
      <w:lvlText w:val="\endash "/>
      <w:numFmt w:val="bullet"/>
      <w:start w:val="1"/>
    </w:lvl>
  </w:abstractNum>
  <w:abstractNum w:abstractNumId="25">
    <w:nsid w:val="A0382C5"/>
    <w:multiLevelType w:val="hybridMultilevel"/>
    <w:lvl w:ilvl="0">
      <w:lvlJc w:val="left"/>
      <w:lvlText w:val="\endash "/>
      <w:numFmt w:val="bullet"/>
      <w:start w:val="1"/>
    </w:lvl>
  </w:abstractNum>
  <w:abstractNum w:abstractNumId="26">
    <w:nsid w:val="8F2B15E"/>
    <w:multiLevelType w:val="hybridMultilevel"/>
    <w:lvl w:ilvl="0">
      <w:lvlJc w:val="left"/>
      <w:lvlText w:val="\endash "/>
      <w:numFmt w:val="bullet"/>
      <w:start w:val="1"/>
    </w:lvl>
  </w:abstractNum>
  <w:abstractNum w:abstractNumId="27">
    <w:nsid w:val="1A32234B"/>
    <w:multiLevelType w:val="hybridMultilevel"/>
    <w:lvl w:ilvl="0">
      <w:lvlJc w:val="left"/>
      <w:lvlText w:val="\endash "/>
      <w:numFmt w:val="bullet"/>
      <w:start w:val="1"/>
    </w:lvl>
  </w:abstractNum>
  <w:abstractNum w:abstractNumId="28">
    <w:nsid w:val="3B0FD379"/>
    <w:multiLevelType w:val="hybridMultilevel"/>
    <w:lvl w:ilvl="0">
      <w:lvlJc w:val="left"/>
      <w:lvlText w:val="\endash "/>
      <w:numFmt w:val="bullet"/>
      <w:start w:val="1"/>
    </w:lvl>
  </w:abstractNum>
  <w:abstractNum w:abstractNumId="29">
    <w:nsid w:val="68EB2F63"/>
    <w:multiLevelType w:val="hybridMultilevel"/>
    <w:lvl w:ilvl="0">
      <w:lvlJc w:val="left"/>
      <w:lvlText w:val="\endash "/>
      <w:numFmt w:val="bullet"/>
      <w:start w:val="1"/>
    </w:lvl>
  </w:abstractNum>
  <w:abstractNum w:abstractNumId="30">
    <w:nsid w:val="4962813B"/>
    <w:multiLevelType w:val="hybridMultilevel"/>
    <w:lvl w:ilvl="0">
      <w:lvlJc w:val="left"/>
      <w:lvlText w:val="\endash "/>
      <w:numFmt w:val="bullet"/>
      <w:start w:val="1"/>
    </w:lvl>
  </w:abstractNum>
  <w:abstractNum w:abstractNumId="31">
    <w:nsid w:val="60B6DF70"/>
    <w:multiLevelType w:val="hybridMultilevel"/>
    <w:lvl w:ilvl="0">
      <w:lvlJc w:val="left"/>
      <w:lvlText w:val="\endash "/>
      <w:numFmt w:val="bullet"/>
      <w:start w:val="1"/>
    </w:lvl>
  </w:abstractNum>
  <w:abstractNum w:abstractNumId="32">
    <w:nsid w:val="6A5EE64"/>
    <w:multiLevelType w:val="hybridMultilevel"/>
    <w:lvl w:ilvl="0">
      <w:lvlJc w:val="left"/>
      <w:lvlText w:val="\endash "/>
      <w:numFmt w:val="bullet"/>
      <w:start w:val="1"/>
    </w:lvl>
  </w:abstractNum>
  <w:abstractNum w:abstractNumId="33">
    <w:nsid w:val="14330624"/>
    <w:multiLevelType w:val="hybridMultilevel"/>
    <w:lvl w:ilvl="0">
      <w:lvlJc w:val="left"/>
      <w:lvlText w:val="\endash "/>
      <w:numFmt w:val="bullet"/>
      <w:start w:val="1"/>
    </w:lvl>
  </w:abstractNum>
  <w:abstractNum w:abstractNumId="34">
    <w:nsid w:val="7FFFCA11"/>
    <w:multiLevelType w:val="hybridMultilevel"/>
    <w:lvl w:ilvl="0">
      <w:lvlJc w:val="left"/>
      <w:lvlText w:val="\endash "/>
      <w:numFmt w:val="bullet"/>
      <w:start w:val="1"/>
    </w:lvl>
  </w:abstractNum>
  <w:abstractNum w:abstractNumId="35">
    <w:nsid w:val="1A27709E"/>
    <w:multiLevelType w:val="hybridMultilevel"/>
    <w:lvl w:ilvl="0">
      <w:lvlJc w:val="left"/>
      <w:lvlText w:val="\endash "/>
      <w:numFmt w:val="bullet"/>
      <w:start w:val="1"/>
    </w:lvl>
  </w:abstractNum>
  <w:abstractNum w:abstractNumId="36">
    <w:nsid w:val="71EA1109"/>
    <w:multiLevelType w:val="hybridMultilevel"/>
    <w:lvl w:ilvl="0">
      <w:lvlJc w:val="left"/>
      <w:lvlText w:val="\endash "/>
      <w:numFmt w:val="bullet"/>
      <w:start w:val="1"/>
    </w:lvl>
  </w:abstractNum>
  <w:abstractNum w:abstractNumId="37">
    <w:nsid w:val="100F59DC"/>
    <w:multiLevelType w:val="hybridMultilevel"/>
    <w:lvl w:ilvl="0">
      <w:lvlJc w:val="left"/>
      <w:lvlText w:val="\endash "/>
      <w:numFmt w:val="bullet"/>
      <w:start w:val="1"/>
    </w:lvl>
  </w:abstractNum>
  <w:abstractNum w:abstractNumId="38">
    <w:nsid w:val="7FB7E0AA"/>
    <w:multiLevelType w:val="hybridMultilevel"/>
    <w:lvl w:ilvl="0">
      <w:lvlJc w:val="left"/>
      <w:lvlText w:val="\endash "/>
      <w:numFmt w:val="bullet"/>
      <w:start w:val="1"/>
    </w:lvl>
  </w:abstractNum>
  <w:abstractNum w:abstractNumId="39">
    <w:nsid w:val="6EB5BD4"/>
    <w:multiLevelType w:val="hybridMultilevel"/>
    <w:lvl w:ilvl="0">
      <w:lvlJc w:val="left"/>
      <w:lvlText w:val="\endash "/>
      <w:numFmt w:val="bullet"/>
      <w:start w:val="1"/>
    </w:lvl>
  </w:abstractNum>
  <w:abstractNum w:abstractNumId="40">
    <w:nsid w:val="6F6DD9AC"/>
    <w:multiLevelType w:val="hybridMultilevel"/>
    <w:lvl w:ilvl="0">
      <w:lvlJc w:val="left"/>
      <w:lvlText w:val="\endash "/>
      <w:numFmt w:val="bullet"/>
      <w:start w:val="1"/>
    </w:lvl>
  </w:abstractNum>
  <w:abstractNum w:abstractNumId="41">
    <w:nsid w:val="94211F2"/>
    <w:multiLevelType w:val="hybridMultilevel"/>
    <w:lvl w:ilvl="0">
      <w:lvlJc w:val="left"/>
      <w:lvlText w:val="\endash "/>
      <w:numFmt w:val="bullet"/>
      <w:start w:val="1"/>
    </w:lvl>
  </w:abstractNum>
  <w:abstractNum w:abstractNumId="42">
    <w:nsid w:val="885E1B"/>
    <w:multiLevelType w:val="hybridMultilevel"/>
    <w:lvl w:ilvl="0">
      <w:lvlJc w:val="left"/>
      <w:lvlText w:val="\endash "/>
      <w:numFmt w:val="bullet"/>
      <w:start w:val="1"/>
    </w:lvl>
  </w:abstractNum>
  <w:abstractNum w:abstractNumId="43">
    <w:nsid w:val="76272110"/>
    <w:multiLevelType w:val="hybridMultilevel"/>
    <w:lvl w:ilvl="0">
      <w:lvlJc w:val="left"/>
      <w:lvlText w:val="\endash "/>
      <w:numFmt w:val="bullet"/>
      <w:start w:val="1"/>
    </w:lvl>
  </w:abstractNum>
  <w:abstractNum w:abstractNumId="44">
    <w:nsid w:val="4C04A8AF"/>
    <w:multiLevelType w:val="hybridMultilevel"/>
    <w:lvl w:ilvl="0">
      <w:lvlJc w:val="left"/>
      <w:lvlText w:val="\endash "/>
      <w:numFmt w:val="bullet"/>
      <w:start w:val="1"/>
    </w:lvl>
  </w:abstractNum>
  <w:abstractNum w:abstractNumId="45">
    <w:nsid w:val="1716703B"/>
    <w:multiLevelType w:val="hybridMultilevel"/>
    <w:lvl w:ilvl="0">
      <w:lvlJc w:val="left"/>
      <w:lvlText w:val="\endash "/>
      <w:numFmt w:val="bullet"/>
      <w:start w:val="1"/>
    </w:lvl>
  </w:abstractNum>
  <w:abstractNum w:abstractNumId="46">
    <w:nsid w:val="14E17E33"/>
    <w:multiLevelType w:val="hybridMultilevel"/>
    <w:lvl w:ilvl="0">
      <w:lvlJc w:val="left"/>
      <w:lvlText w:val="\endash "/>
      <w:numFmt w:val="bullet"/>
      <w:start w:val="1"/>
    </w:lvl>
  </w:abstractNum>
  <w:abstractNum w:abstractNumId="47">
    <w:nsid w:val="3222E7CD"/>
    <w:multiLevelType w:val="hybridMultilevel"/>
    <w:lvl w:ilvl="0">
      <w:lvlJc w:val="left"/>
      <w:lvlText w:val="\endash "/>
      <w:numFmt w:val="bullet"/>
      <w:start w:val="1"/>
    </w:lvl>
  </w:abstractNum>
  <w:abstractNum w:abstractNumId="48">
    <w:nsid w:val="74DE0EE3"/>
    <w:multiLevelType w:val="hybridMultilevel"/>
    <w:lvl w:ilvl="0">
      <w:lvlJc w:val="left"/>
      <w:lvlText w:val="\endash "/>
      <w:numFmt w:val="bullet"/>
      <w:start w:val="1"/>
    </w:lvl>
  </w:abstractNum>
  <w:abstractNum w:abstractNumId="49">
    <w:nsid w:val="68EBC550"/>
    <w:multiLevelType w:val="hybridMultilevel"/>
    <w:lvl w:ilvl="0">
      <w:lvlJc w:val="left"/>
      <w:lvlText w:val="\endash "/>
      <w:numFmt w:val="bullet"/>
      <w:start w:val="1"/>
    </w:lvl>
  </w:abstractNum>
  <w:abstractNum w:abstractNumId="50">
    <w:nsid w:val="2DF6D648"/>
    <w:multiLevelType w:val="hybridMultilevel"/>
    <w:lvl w:ilvl="0">
      <w:lvlJc w:val="left"/>
      <w:lvlText w:val="\endash "/>
      <w:numFmt w:val="bullet"/>
      <w:start w:val="1"/>
    </w:lvl>
  </w:abstractNum>
  <w:abstractNum w:abstractNumId="51">
    <w:nsid w:val="46B7D447"/>
    <w:multiLevelType w:val="hybridMultilevel"/>
    <w:lvl w:ilvl="0">
      <w:lvlJc w:val="left"/>
      <w:lvlText w:val="\endash "/>
      <w:numFmt w:val="bullet"/>
      <w:start w:val="1"/>
    </w:lvl>
  </w:abstractNum>
  <w:abstractNum w:abstractNumId="52">
    <w:nsid w:val="4A2AC315"/>
    <w:multiLevelType w:val="hybridMultilevel"/>
    <w:lvl w:ilvl="0">
      <w:lvlJc w:val="left"/>
      <w:lvlText w:val="\endash "/>
      <w:numFmt w:val="bullet"/>
      <w:start w:val="1"/>
    </w:lvl>
  </w:abstractNum>
  <w:abstractNum w:abstractNumId="53">
    <w:nsid w:val="39EE015C"/>
    <w:multiLevelType w:val="hybridMultilevel"/>
    <w:lvl w:ilvl="0">
      <w:lvlJc w:val="left"/>
      <w:lvlText w:val="\endash "/>
      <w:numFmt w:val="bullet"/>
      <w:start w:val="1"/>
    </w:lvl>
  </w:abstractNum>
  <w:abstractNum w:abstractNumId="54">
    <w:nsid w:val="57FC4FBB"/>
    <w:multiLevelType w:val="hybridMultilevel"/>
    <w:lvl w:ilvl="0">
      <w:lvlJc w:val="left"/>
      <w:lvlText w:val="\endash "/>
      <w:numFmt w:val="bullet"/>
      <w:start w:val="1"/>
    </w:lvl>
  </w:abstractNum>
  <w:abstractNum w:abstractNumId="55">
    <w:nsid w:val="CC1016F"/>
    <w:multiLevelType w:val="hybridMultilevel"/>
    <w:lvl w:ilvl="0">
      <w:lvlJc w:val="left"/>
      <w:lvlText w:val="\endash "/>
      <w:numFmt w:val="bullet"/>
      <w:start w:val="1"/>
    </w:lvl>
  </w:abstractNum>
  <w:abstractNum w:abstractNumId="56">
    <w:nsid w:val="43F18422"/>
    <w:multiLevelType w:val="hybridMultilevel"/>
    <w:lvl w:ilvl="0">
      <w:lvlJc w:val="left"/>
      <w:lvlText w:val="\endash "/>
      <w:numFmt w:val="bullet"/>
      <w:start w:val="1"/>
    </w:lvl>
  </w:abstractNum>
  <w:abstractNum w:abstractNumId="57">
    <w:nsid w:val="60EF0119"/>
    <w:multiLevelType w:val="hybridMultilevel"/>
    <w:lvl w:ilvl="0">
      <w:lvlJc w:val="left"/>
      <w:lvlText w:val="\endash "/>
      <w:numFmt w:val="bullet"/>
      <w:start w:val="1"/>
    </w:lvl>
  </w:abstractNum>
  <w:abstractNum w:abstractNumId="58">
    <w:nsid w:val="26F324BA"/>
    <w:multiLevelType w:val="hybridMultilevel"/>
    <w:lvl w:ilvl="0">
      <w:lvlJc w:val="left"/>
      <w:lvlText w:val="\endash "/>
      <w:numFmt w:val="bullet"/>
      <w:start w:val="1"/>
    </w:lvl>
  </w:abstractNum>
  <w:abstractNum w:abstractNumId="59">
    <w:nsid w:val="7F01579B"/>
    <w:multiLevelType w:val="hybridMultilevel"/>
    <w:lvl w:ilvl="0">
      <w:lvlJc w:val="left"/>
      <w:lvlText w:val="\endash "/>
      <w:numFmt w:val="bullet"/>
      <w:start w:val="1"/>
    </w:lvl>
  </w:abstractNum>
  <w:abstractNum w:abstractNumId="60">
    <w:nsid w:val="49DA307D"/>
    <w:multiLevelType w:val="hybridMultilevel"/>
    <w:lvl w:ilvl="0">
      <w:lvlJc w:val="left"/>
      <w:lvlText w:val="\endash "/>
      <w:numFmt w:val="bullet"/>
      <w:start w:val="1"/>
    </w:lvl>
  </w:abstractNum>
  <w:abstractNum w:abstractNumId="61">
    <w:nsid w:val="7055A5F5"/>
    <w:multiLevelType w:val="hybridMultilevel"/>
    <w:lvl w:ilvl="0">
      <w:lvlJc w:val="left"/>
      <w:lvlText w:val="\endash "/>
      <w:numFmt w:val="bullet"/>
      <w:start w:val="1"/>
    </w:lvl>
  </w:abstractNum>
  <w:abstractNum w:abstractNumId="62">
    <w:nsid w:val="5FB8370B"/>
    <w:multiLevelType w:val="hybridMultilevel"/>
    <w:lvl w:ilvl="0">
      <w:lvlJc w:val="left"/>
      <w:lvlText w:val="\endash "/>
      <w:numFmt w:val="bullet"/>
      <w:start w:val="1"/>
    </w:lvl>
  </w:abstractNum>
  <w:abstractNum w:abstractNumId="63">
    <w:nsid w:val="50801EE1"/>
    <w:multiLevelType w:val="hybridMultilevel"/>
    <w:lvl w:ilvl="0">
      <w:lvlJc w:val="left"/>
      <w:lvlText w:val="\endash "/>
      <w:numFmt w:val="bullet"/>
      <w:start w:val="1"/>
    </w:lvl>
  </w:abstractNum>
  <w:abstractNum w:abstractNumId="64">
    <w:nsid w:val="488AC1A"/>
    <w:multiLevelType w:val="hybridMultilevel"/>
    <w:lvl w:ilvl="0">
      <w:lvlJc w:val="left"/>
      <w:lvlText w:val="\endash "/>
      <w:numFmt w:val="bullet"/>
      <w:start w:val="1"/>
    </w:lvl>
  </w:abstractNum>
  <w:abstractNum w:abstractNumId="65">
    <w:nsid w:val="5FB8011C"/>
    <w:multiLevelType w:val="hybridMultilevel"/>
    <w:lvl w:ilvl="0">
      <w:lvlJc w:val="left"/>
      <w:lvlText w:val="\endash "/>
      <w:numFmt w:val="bullet"/>
      <w:start w:val="1"/>
    </w:lvl>
  </w:abstractNum>
  <w:abstractNum w:abstractNumId="66">
    <w:nsid w:val="6AA78F7F"/>
    <w:multiLevelType w:val="hybridMultilevel"/>
    <w:lvl w:ilvl="0">
      <w:lvlJc w:val="left"/>
      <w:lvlText w:val="\endash "/>
      <w:numFmt w:val="bullet"/>
      <w:start w:val="1"/>
    </w:lvl>
  </w:abstractNum>
  <w:abstractNum w:abstractNumId="67">
    <w:nsid w:val="7672BD23"/>
    <w:multiLevelType w:val="hybridMultilevel"/>
    <w:lvl w:ilvl="0">
      <w:lvlJc w:val="left"/>
      <w:lvlText w:val="\endash "/>
      <w:numFmt w:val="bullet"/>
      <w:start w:val="1"/>
    </w:lvl>
  </w:abstractNum>
  <w:abstractNum w:abstractNumId="68">
    <w:nsid w:val="6FC75AF8"/>
    <w:multiLevelType w:val="hybridMultilevel"/>
    <w:lvl w:ilvl="0">
      <w:lvlJc w:val="left"/>
      <w:lvlText w:val="\endash "/>
      <w:numFmt w:val="bullet"/>
      <w:start w:val="1"/>
    </w:lvl>
  </w:abstractNum>
  <w:abstractNum w:abstractNumId="69">
    <w:nsid w:val="6A5F7029"/>
    <w:multiLevelType w:val="hybridMultilevel"/>
    <w:lvl w:ilvl="0">
      <w:lvlJc w:val="left"/>
      <w:lvlText w:val="\endash "/>
      <w:numFmt w:val="bullet"/>
      <w:start w:val="1"/>
    </w:lvl>
  </w:abstractNum>
  <w:abstractNum w:abstractNumId="70">
    <w:nsid w:val="7D5E18F8"/>
    <w:multiLevelType w:val="hybridMultilevel"/>
    <w:lvl w:ilvl="0">
      <w:lvlJc w:val="left"/>
      <w:lvlText w:val="\endash "/>
      <w:numFmt w:val="bullet"/>
      <w:start w:val="1"/>
    </w:lvl>
  </w:abstractNum>
  <w:abstractNum w:abstractNumId="71">
    <w:nsid w:val="5F3534A4"/>
    <w:multiLevelType w:val="hybridMultilevel"/>
    <w:lvl w:ilvl="0">
      <w:lvlJc w:val="left"/>
      <w:lvlText w:val="\endash "/>
      <w:numFmt w:val="bullet"/>
      <w:start w:val="1"/>
    </w:lvl>
  </w:abstractNum>
  <w:abstractNum w:abstractNumId="72">
    <w:nsid w:val="73A1821B"/>
    <w:multiLevelType w:val="hybridMultilevel"/>
    <w:lvl w:ilvl="0">
      <w:lvlJc w:val="left"/>
      <w:lvlText w:val="\endash "/>
      <w:numFmt w:val="bullet"/>
      <w:start w:val="1"/>
    </w:lvl>
  </w:abstractNum>
  <w:abstractNum w:abstractNumId="73">
    <w:nsid w:val="7DE67713"/>
    <w:multiLevelType w:val="hybridMultilevel"/>
    <w:lvl w:ilvl="0">
      <w:lvlJc w:val="left"/>
      <w:lvlText w:val="\endash "/>
      <w:numFmt w:val="bullet"/>
      <w:start w:val="1"/>
    </w:lvl>
  </w:abstractNum>
  <w:abstractNum w:abstractNumId="74">
    <w:nsid w:val="555C55B5"/>
    <w:multiLevelType w:val="hybridMultilevel"/>
    <w:lvl w:ilvl="0">
      <w:lvlJc w:val="left"/>
      <w:lvlText w:val="\endash "/>
      <w:numFmt w:val="bullet"/>
      <w:start w:val="1"/>
    </w:lvl>
  </w:abstractNum>
  <w:abstractNum w:abstractNumId="75">
    <w:nsid w:val="3FA62ACA"/>
    <w:multiLevelType w:val="hybridMultilevel"/>
    <w:lvl w:ilvl="0">
      <w:lvlJc w:val="left"/>
      <w:lvlText w:val="\endash "/>
      <w:numFmt w:val="bullet"/>
      <w:start w:val="1"/>
    </w:lvl>
  </w:abstractNum>
  <w:abstractNum w:abstractNumId="76">
    <w:nsid w:val="14FCE74E"/>
    <w:multiLevelType w:val="hybridMultilevel"/>
    <w:lvl w:ilvl="0">
      <w:lvlJc w:val="left"/>
      <w:lvlText w:val="\endash "/>
      <w:numFmt w:val="bullet"/>
      <w:start w:val="1"/>
    </w:lvl>
  </w:abstractNum>
  <w:abstractNum w:abstractNumId="77">
    <w:nsid w:val="6A3DD3E8"/>
    <w:multiLevelType w:val="hybridMultilevel"/>
    <w:lvl w:ilvl="0">
      <w:lvlJc w:val="left"/>
      <w:lvlText w:val="\endash "/>
      <w:numFmt w:val="bullet"/>
      <w:start w:val="1"/>
    </w:lvl>
  </w:abstractNum>
  <w:abstractNum w:abstractNumId="78">
    <w:nsid w:val="71C91298"/>
    <w:multiLevelType w:val="hybridMultilevel"/>
    <w:lvl w:ilvl="0">
      <w:lvlJc w:val="left"/>
      <w:lvlText w:val="\endash "/>
      <w:numFmt w:val="bullet"/>
      <w:start w:val="1"/>
    </w:lvl>
  </w:abstractNum>
  <w:abstractNum w:abstractNumId="79">
    <w:nsid w:val="9DAF632"/>
    <w:multiLevelType w:val="hybridMultilevel"/>
    <w:lvl w:ilvl="0">
      <w:lvlJc w:val="left"/>
      <w:lvlText w:val="\endash "/>
      <w:numFmt w:val="bullet"/>
      <w:start w:val="1"/>
    </w:lvl>
  </w:abstractNum>
  <w:abstractNum w:abstractNumId="80">
    <w:nsid w:val="53299938"/>
    <w:multiLevelType w:val="hybridMultilevel"/>
    <w:lvl w:ilvl="0">
      <w:lvlJc w:val="left"/>
      <w:lvlText w:val="\endash "/>
      <w:numFmt w:val="bullet"/>
      <w:start w:val="1"/>
    </w:lvl>
  </w:abstractNum>
  <w:abstractNum w:abstractNumId="81">
    <w:nsid w:val="1FBFE8E0"/>
    <w:multiLevelType w:val="hybridMultilevel"/>
    <w:lvl w:ilvl="0">
      <w:lvlJc w:val="left"/>
      <w:lvlText w:val="\endash "/>
      <w:numFmt w:val="bullet"/>
      <w:start w:val="1"/>
    </w:lvl>
  </w:abstractNum>
  <w:abstractNum w:abstractNumId="82">
    <w:nsid w:val="5092CA79"/>
    <w:multiLevelType w:val="hybridMultilevel"/>
    <w:lvl w:ilvl="0">
      <w:lvlJc w:val="left"/>
      <w:lvlText w:val="\endash "/>
      <w:numFmt w:val="bullet"/>
      <w:start w:val="1"/>
    </w:lvl>
  </w:abstractNum>
  <w:abstractNum w:abstractNumId="83">
    <w:nsid w:val="1D545C4D"/>
    <w:multiLevelType w:val="hybridMultilevel"/>
    <w:lvl w:ilvl="0">
      <w:lvlJc w:val="left"/>
      <w:lvlText w:val="\endash "/>
      <w:numFmt w:val="bullet"/>
      <w:start w:val="1"/>
    </w:lvl>
  </w:abstractNum>
  <w:abstractNum w:abstractNumId="84">
    <w:nsid w:val="59ADEA3D"/>
    <w:multiLevelType w:val="hybridMultilevel"/>
    <w:lvl w:ilvl="0">
      <w:lvlJc w:val="left"/>
      <w:lvlText w:val="\endash "/>
      <w:numFmt w:val="bullet"/>
      <w:start w:val="1"/>
    </w:lvl>
  </w:abstractNum>
  <w:abstractNum w:abstractNumId="85">
    <w:nsid w:val="288F1A34"/>
    <w:multiLevelType w:val="hybridMultilevel"/>
    <w:lvl w:ilvl="0">
      <w:lvlJc w:val="left"/>
      <w:lvlText w:val="\endash "/>
      <w:numFmt w:val="bullet"/>
      <w:start w:val="1"/>
    </w:lvl>
  </w:abstractNum>
  <w:abstractNum w:abstractNumId="86">
    <w:nsid w:val="2A155DBC"/>
    <w:multiLevelType w:val="hybridMultilevel"/>
    <w:lvl w:ilvl="0">
      <w:lvlJc w:val="left"/>
      <w:lvlText w:val="\endash "/>
      <w:numFmt w:val="bullet"/>
      <w:start w:val="1"/>
    </w:lvl>
  </w:abstractNum>
  <w:abstractNum w:abstractNumId="87">
    <w:nsid w:val="1D9F6E5F"/>
    <w:multiLevelType w:val="hybridMultilevel"/>
    <w:lvl w:ilvl="0">
      <w:lvlJc w:val="left"/>
      <w:lvlText w:val="\endash "/>
      <w:numFmt w:val="bullet"/>
      <w:start w:val="1"/>
    </w:lvl>
  </w:abstractNum>
  <w:abstractNum w:abstractNumId="88">
    <w:nsid w:val="97E1B4E"/>
    <w:multiLevelType w:val="hybridMultilevel"/>
    <w:lvl w:ilvl="0">
      <w:lvlJc w:val="left"/>
      <w:lvlText w:val="\endash "/>
      <w:numFmt w:val="bullet"/>
      <w:start w:val="1"/>
    </w:lvl>
  </w:abstractNum>
  <w:abstractNum w:abstractNumId="89">
    <w:nsid w:val="51088277"/>
    <w:multiLevelType w:val="hybridMultilevel"/>
    <w:lvl w:ilvl="0">
      <w:lvlJc w:val="left"/>
      <w:lvlText w:val="\endash "/>
      <w:numFmt w:val="bullet"/>
      <w:start w:val="1"/>
    </w:lvl>
  </w:abstractNum>
  <w:abstractNum w:abstractNumId="90">
    <w:nsid w:val="1CA0C5FA"/>
    <w:multiLevelType w:val="hybridMultilevel"/>
    <w:lvl w:ilvl="0">
      <w:lvlJc w:val="left"/>
      <w:lvlText w:val="\endash "/>
      <w:numFmt w:val="bullet"/>
      <w:start w:val="1"/>
    </w:lvl>
  </w:abstractNum>
  <w:abstractNum w:abstractNumId="91">
    <w:nsid w:val="53584BCB"/>
    <w:multiLevelType w:val="hybridMultilevel"/>
    <w:lvl w:ilvl="0">
      <w:lvlJc w:val="left"/>
      <w:lvlText w:val="\endash "/>
      <w:numFmt w:val="bullet"/>
      <w:start w:val="1"/>
    </w:lvl>
  </w:abstractNum>
  <w:abstractNum w:abstractNumId="92">
    <w:nsid w:val="415E286C"/>
    <w:multiLevelType w:val="hybridMultilevel"/>
    <w:lvl w:ilvl="0">
      <w:lvlJc w:val="left"/>
      <w:lvlText w:val="\endash "/>
      <w:numFmt w:val="bullet"/>
      <w:start w:val="1"/>
    </w:lvl>
  </w:abstractNum>
  <w:abstractNum w:abstractNumId="93">
    <w:nsid w:val="7C58FD05"/>
    <w:multiLevelType w:val="hybridMultilevel"/>
    <w:lvl w:ilvl="0">
      <w:lvlJc w:val="left"/>
      <w:lvlText w:val="\endash "/>
      <w:numFmt w:val="bullet"/>
      <w:start w:val="1"/>
    </w:lvl>
  </w:abstractNum>
  <w:abstractNum w:abstractNumId="94">
    <w:nsid w:val="23D86AAC"/>
    <w:multiLevelType w:val="hybridMultilevel"/>
    <w:lvl w:ilvl="0">
      <w:lvlJc w:val="left"/>
      <w:lvlText w:val="\endash "/>
      <w:numFmt w:val="bullet"/>
      <w:start w:val="1"/>
    </w:lvl>
  </w:abstractNum>
  <w:abstractNum w:abstractNumId="95">
    <w:nsid w:val="45E6D486"/>
    <w:multiLevelType w:val="hybridMultilevel"/>
    <w:lvl w:ilvl="0">
      <w:lvlJc w:val="left"/>
      <w:lvlText w:val="\endash "/>
      <w:numFmt w:val="bullet"/>
      <w:start w:val="1"/>
    </w:lvl>
  </w:abstractNum>
  <w:abstractNum w:abstractNumId="96">
    <w:nsid w:val="5C10FE21"/>
    <w:multiLevelType w:val="hybridMultilevel"/>
    <w:lvl w:ilvl="0">
      <w:lvlJc w:val="left"/>
      <w:lvlText w:val="\endash "/>
      <w:numFmt w:val="bullet"/>
      <w:start w:val="1"/>
    </w:lvl>
  </w:abstractNum>
  <w:abstractNum w:abstractNumId="97">
    <w:nsid w:val="E7FFA2B"/>
    <w:multiLevelType w:val="hybridMultilevel"/>
    <w:lvl w:ilvl="0">
      <w:lvlJc w:val="left"/>
      <w:lvlText w:val="\endash "/>
      <w:numFmt w:val="bullet"/>
      <w:start w:val="1"/>
    </w:lvl>
  </w:abstractNum>
  <w:abstractNum w:abstractNumId="98">
    <w:nsid w:val="3C5991AA"/>
    <w:multiLevelType w:val="hybridMultilevel"/>
    <w:lvl w:ilvl="0">
      <w:lvlJc w:val="left"/>
      <w:lvlText w:val="\endash "/>
      <w:numFmt w:val="bullet"/>
      <w:start w:val="1"/>
    </w:lvl>
  </w:abstractNum>
  <w:abstractNum w:abstractNumId="99">
    <w:nsid w:val="4BD8591A"/>
    <w:multiLevelType w:val="hybridMultilevel"/>
    <w:lvl w:ilvl="0">
      <w:lvlJc w:val="left"/>
      <w:lvlText w:val="\endash "/>
      <w:numFmt w:val="bullet"/>
      <w:start w:val="1"/>
    </w:lvl>
  </w:abstractNum>
  <w:abstractNum w:abstractNumId="100">
    <w:nsid w:val="78DF6A55"/>
    <w:multiLevelType w:val="hybridMultilevel"/>
    <w:lvl w:ilvl="0">
      <w:lvlJc w:val="left"/>
      <w:lvlText w:val="\endash "/>
      <w:numFmt w:val="bullet"/>
      <w:start w:val="1"/>
    </w:lvl>
  </w:abstractNum>
  <w:abstractNum w:abstractNumId="101">
    <w:nsid w:val="39B7AAA2"/>
    <w:multiLevelType w:val="hybridMultilevel"/>
    <w:lvl w:ilvl="0">
      <w:lvlJc w:val="left"/>
      <w:lvlText w:val="\endash "/>
      <w:numFmt w:val="bullet"/>
      <w:start w:val="1"/>
    </w:lvl>
  </w:abstractNum>
  <w:abstractNum w:abstractNumId="102">
    <w:nsid w:val="2B0D8DBE"/>
    <w:multiLevelType w:val="hybridMultilevel"/>
    <w:lvl w:ilvl="0">
      <w:lvlJc w:val="left"/>
      <w:lvlText w:val="\endash "/>
      <w:numFmt w:val="bullet"/>
      <w:start w:val="1"/>
    </w:lvl>
  </w:abstractNum>
  <w:abstractNum w:abstractNumId="103">
    <w:nsid w:val="6C80EC70"/>
    <w:multiLevelType w:val="hybridMultilevel"/>
    <w:lvl w:ilvl="0">
      <w:lvlJc w:val="left"/>
      <w:lvlText w:val="\endash "/>
      <w:numFmt w:val="bullet"/>
      <w:start w:val="1"/>
    </w:lvl>
  </w:abstractNum>
  <w:abstractNum w:abstractNumId="104">
    <w:nsid w:val="379E21B5"/>
    <w:multiLevelType w:val="hybridMultilevel"/>
    <w:lvl w:ilvl="0">
      <w:lvlJc w:val="left"/>
      <w:lvlText w:val="\endash "/>
      <w:numFmt w:val="bullet"/>
      <w:start w:val="1"/>
    </w:lvl>
  </w:abstractNum>
  <w:abstractNum w:abstractNumId="105">
    <w:nsid w:val="69E373"/>
    <w:multiLevelType w:val="hybridMultilevel"/>
    <w:lvl w:ilvl="0">
      <w:lvlJc w:val="left"/>
      <w:lvlText w:val="\endash "/>
      <w:numFmt w:val="bullet"/>
      <w:start w:val="1"/>
    </w:lvl>
  </w:abstractNum>
  <w:abstractNum w:abstractNumId="106">
    <w:nsid w:val="2C27173B"/>
    <w:multiLevelType w:val="hybridMultilevel"/>
    <w:lvl w:ilvl="0">
      <w:lvlJc w:val="left"/>
      <w:lvlText w:val="\endash "/>
      <w:numFmt w:val="bullet"/>
      <w:start w:val="1"/>
    </w:lvl>
  </w:abstractNum>
  <w:abstractNum w:abstractNumId="107">
    <w:nsid w:val="4C9B0904"/>
    <w:multiLevelType w:val="hybridMultilevel"/>
    <w:lvl w:ilvl="0">
      <w:lvlJc w:val="left"/>
      <w:lvlText w:val="\endash "/>
      <w:numFmt w:val="bullet"/>
      <w:start w:val="1"/>
    </w:lvl>
  </w:abstractNum>
  <w:abstractNum w:abstractNumId="108">
    <w:nsid w:val="6AA7B75C"/>
    <w:multiLevelType w:val="hybridMultilevel"/>
    <w:lvl w:ilvl="0">
      <w:lvlJc w:val="left"/>
      <w:lvlText w:val="\endash "/>
      <w:numFmt w:val="bullet"/>
      <w:start w:val="1"/>
    </w:lvl>
  </w:abstractNum>
  <w:abstractNum w:abstractNumId="109">
    <w:nsid w:val="1DF029D3"/>
    <w:multiLevelType w:val="hybridMultilevel"/>
    <w:lvl w:ilvl="0">
      <w:lvlJc w:val="left"/>
      <w:lvlText w:val="\endash "/>
      <w:numFmt w:val="bullet"/>
      <w:start w:val="1"/>
    </w:lvl>
  </w:abstractNum>
  <w:abstractNum w:abstractNumId="110">
    <w:nsid w:val="5675FF36"/>
    <w:multiLevelType w:val="hybridMultilevel"/>
    <w:lvl w:ilvl="0">
      <w:lvlJc w:val="left"/>
      <w:lvlText w:val="\endash "/>
      <w:numFmt w:val="bullet"/>
      <w:start w:val="1"/>
    </w:lvl>
  </w:abstractNum>
  <w:abstractNum w:abstractNumId="111">
    <w:nsid w:val="3DD15094"/>
    <w:multiLevelType w:val="hybridMultilevel"/>
    <w:lvl w:ilvl="0">
      <w:lvlJc w:val="left"/>
      <w:lvlText w:val="\endash "/>
      <w:numFmt w:val="bullet"/>
      <w:start w:val="1"/>
    </w:lvl>
  </w:abstractNum>
  <w:abstractNum w:abstractNumId="112">
    <w:nsid w:val="3DB012B3"/>
    <w:multiLevelType w:val="hybridMultilevel"/>
    <w:lvl w:ilvl="0">
      <w:lvlJc w:val="left"/>
      <w:lvlText w:val="\endash "/>
      <w:numFmt w:val="bullet"/>
      <w:start w:val="1"/>
    </w:lvl>
  </w:abstractNum>
  <w:abstractNum w:abstractNumId="113">
    <w:nsid w:val="2708C9AF"/>
    <w:multiLevelType w:val="hybridMultilevel"/>
    <w:lvl w:ilvl="0">
      <w:lvlJc w:val="left"/>
      <w:lvlText w:val="\endash "/>
      <w:numFmt w:val="bullet"/>
      <w:start w:val="1"/>
    </w:lvl>
  </w:abstractNum>
  <w:abstractNum w:abstractNumId="114">
    <w:nsid w:val="5B25ACE2"/>
    <w:multiLevelType w:val="hybridMultilevel"/>
    <w:lvl w:ilvl="0">
      <w:lvlJc w:val="left"/>
      <w:lvlText w:val="\endash "/>
      <w:numFmt w:val="bullet"/>
      <w:start w:val="1"/>
    </w:lvl>
  </w:abstractNum>
  <w:abstractNum w:abstractNumId="115">
    <w:nsid w:val="175DFCF0"/>
    <w:multiLevelType w:val="hybridMultilevel"/>
    <w:lvl w:ilvl="0">
      <w:lvlJc w:val="left"/>
      <w:lvlText w:val="\endash "/>
      <w:numFmt w:val="bullet"/>
      <w:start w:val="1"/>
    </w:lvl>
  </w:abstractNum>
  <w:abstractNum w:abstractNumId="116">
    <w:nsid w:val="4F97E3E4"/>
    <w:multiLevelType w:val="hybridMultilevel"/>
    <w:lvl w:ilvl="0">
      <w:lvlJc w:val="left"/>
      <w:lvlText w:val="\endash "/>
      <w:numFmt w:val="bullet"/>
      <w:start w:val="1"/>
    </w:lvl>
  </w:abstractNum>
  <w:abstractNum w:abstractNumId="117">
    <w:nsid w:val="53B0A9E"/>
    <w:multiLevelType w:val="hybridMultilevel"/>
    <w:lvl w:ilvl="0">
      <w:lvlJc w:val="left"/>
      <w:lvlText w:val="\endash "/>
      <w:numFmt w:val="bullet"/>
      <w:start w:val="1"/>
    </w:lvl>
  </w:abstractNum>
  <w:abstractNum w:abstractNumId="118">
    <w:nsid w:val="34FD6B4F"/>
    <w:multiLevelType w:val="hybridMultilevel"/>
    <w:lvl w:ilvl="0">
      <w:lvlJc w:val="left"/>
      <w:lvlText w:val="\endash "/>
      <w:numFmt w:val="bullet"/>
      <w:start w:val="1"/>
    </w:lvl>
  </w:abstractNum>
  <w:abstractNum w:abstractNumId="119">
    <w:nsid w:val="5915FF32"/>
    <w:multiLevelType w:val="hybridMultilevel"/>
    <w:lvl w:ilvl="0">
      <w:lvlJc w:val="left"/>
      <w:lvlText w:val="\endash "/>
      <w:numFmt w:val="bullet"/>
      <w:start w:val="1"/>
    </w:lvl>
  </w:abstractNum>
  <w:abstractNum w:abstractNumId="120">
    <w:nsid w:val="56438D15"/>
    <w:multiLevelType w:val="hybridMultilevel"/>
    <w:lvl w:ilvl="0">
      <w:lvlJc w:val="left"/>
      <w:lvlText w:val="\endash "/>
      <w:numFmt w:val="bullet"/>
      <w:start w:val="1"/>
    </w:lvl>
  </w:abstractNum>
  <w:abstractNum w:abstractNumId="121">
    <w:nsid w:val="519E3149"/>
    <w:multiLevelType w:val="hybridMultilevel"/>
    <w:lvl w:ilvl="0">
      <w:lvlJc w:val="left"/>
      <w:lvlText w:val="\endash "/>
      <w:numFmt w:val="bullet"/>
      <w:start w:val="1"/>
    </w:lvl>
  </w:abstractNum>
  <w:abstractNum w:abstractNumId="122">
    <w:nsid w:val="2C6E4AFD"/>
    <w:multiLevelType w:val="hybridMultilevel"/>
    <w:lvl w:ilvl="0">
      <w:lvlJc w:val="left"/>
      <w:lvlText w:val="\endash "/>
      <w:numFmt w:val="bullet"/>
      <w:start w:val="1"/>
    </w:lvl>
  </w:abstractNum>
  <w:abstractNum w:abstractNumId="123">
    <w:nsid w:val="17A1B582"/>
    <w:multiLevelType w:val="hybridMultilevel"/>
    <w:lvl w:ilvl="0">
      <w:lvlJc w:val="left"/>
      <w:lvlText w:val="\endash "/>
      <w:numFmt w:val="bullet"/>
      <w:start w:val="1"/>
    </w:lvl>
  </w:abstractNum>
  <w:abstractNum w:abstractNumId="124">
    <w:nsid w:val="4DF72E4E"/>
    <w:multiLevelType w:val="hybridMultilevel"/>
    <w:lvl w:ilvl="0">
      <w:lvlJc w:val="left"/>
      <w:lvlText w:val="\endash "/>
      <w:numFmt w:val="bullet"/>
      <w:start w:val="1"/>
    </w:lvl>
  </w:abstractNum>
  <w:abstractNum w:abstractNumId="125">
    <w:nsid w:val="5046B5A9"/>
    <w:multiLevelType w:val="hybridMultilevel"/>
    <w:lvl w:ilvl="0">
      <w:lvlJc w:val="left"/>
      <w:lvlText w:val="\endash "/>
      <w:numFmt w:val="bullet"/>
      <w:start w:val="1"/>
    </w:lvl>
  </w:abstractNum>
  <w:abstractNum w:abstractNumId="126">
    <w:nsid w:val="5D888A08"/>
    <w:multiLevelType w:val="hybridMultilevel"/>
    <w:lvl w:ilvl="0">
      <w:lvlJc w:val="left"/>
      <w:lvlText w:val="\endash "/>
      <w:numFmt w:val="bullet"/>
      <w:start w:val="1"/>
    </w:lvl>
  </w:abstractNum>
  <w:abstractNum w:abstractNumId="127">
    <w:nsid w:val="2A082C70"/>
    <w:multiLevelType w:val="hybridMultilevel"/>
    <w:lvl w:ilvl="0">
      <w:lvlJc w:val="left"/>
      <w:lvlText w:val="\endash "/>
      <w:numFmt w:val="bullet"/>
      <w:start w:val="1"/>
    </w:lvl>
  </w:abstractNum>
  <w:abstractNum w:abstractNumId="128">
    <w:nsid w:val="5EC6AFD4"/>
    <w:multiLevelType w:val="hybridMultilevel"/>
    <w:lvl w:ilvl="0">
      <w:lvlJc w:val="left"/>
      <w:lvlText w:val="\endash "/>
      <w:numFmt w:val="bullet"/>
      <w:start w:val="1"/>
    </w:lvl>
  </w:abstractNum>
  <w:abstractNum w:abstractNumId="129">
    <w:nsid w:val="19E21BB2"/>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2025-11-03T05:54:38Z</dcterms:created>
  <dcterms:modified xsi:type="dcterms:W3CDTF">2025-11-03T05:54:38Z</dcterms:modified>
</cp:coreProperties>
</file>